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default" w:ascii="Times New Roman" w:hAnsi="Times New Roman" w:eastAsia="黑体" w:cs="Times New Roman"/>
          <w:b w:val="0"/>
          <w:bCs w:val="0"/>
          <w:spacing w:val="7"/>
          <w:sz w:val="32"/>
          <w:szCs w:val="32"/>
          <w:lang w:val="en-US" w:eastAsia="zh-CN"/>
        </w:rPr>
      </w:pPr>
      <w:r>
        <w:rPr>
          <w:rFonts w:hint="default" w:ascii="Times New Roman" w:hAnsi="Times New Roman" w:eastAsia="黑体" w:cs="Times New Roman"/>
          <w:b w:val="0"/>
          <w:bCs w:val="0"/>
          <w:spacing w:val="7"/>
          <w:sz w:val="32"/>
          <w:szCs w:val="32"/>
          <w:lang w:val="en" w:eastAsia="zh-CN"/>
        </w:rPr>
        <w:t>附件</w:t>
      </w:r>
      <w:r>
        <w:rPr>
          <w:rFonts w:hint="default" w:ascii="Times New Roman" w:hAnsi="Times New Roman" w:eastAsia="黑体" w:cs="Times New Roman"/>
          <w:b w:val="0"/>
          <w:bCs w:val="0"/>
          <w:spacing w:val="7"/>
          <w:sz w:val="32"/>
          <w:szCs w:val="32"/>
          <w:lang w:val="en-US" w:eastAsia="zh-CN"/>
        </w:rPr>
        <w:t>3</w:t>
      </w:r>
    </w:p>
    <w:p>
      <w:pPr>
        <w:pStyle w:val="4"/>
        <w:rPr>
          <w:rFonts w:ascii="黑体" w:hAnsi="黑体" w:eastAsia="黑体"/>
          <w:sz w:val="24"/>
        </w:rPr>
      </w:pPr>
      <w:r>
        <w:rPr>
          <w:rFonts w:hint="eastAsia" w:ascii="方正小标宋_GBK" w:hAnsi="方正小标宋_GBK" w:eastAsia="方正小标宋_GBK" w:cs="方正小标宋_GBK"/>
          <w:b w:val="0"/>
          <w:bCs w:val="0"/>
        </w:rPr>
        <w:t>中华老字号示范创建评价指标</w:t>
      </w:r>
    </w:p>
    <w:tbl>
      <w:tblPr>
        <w:tblStyle w:val="6"/>
        <w:tblpPr w:leftFromText="180" w:rightFromText="180" w:vertAnchor="text" w:tblpXSpec="center" w:tblpY="1"/>
        <w:tblOverlap w:val="never"/>
        <w:tblW w:w="14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339"/>
        <w:gridCol w:w="1450"/>
        <w:gridCol w:w="5387"/>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0" w:hRule="atLeast"/>
        </w:trPr>
        <w:tc>
          <w:tcPr>
            <w:tcW w:w="14757" w:type="dxa"/>
            <w:gridSpan w:val="4"/>
            <w:tcBorders>
              <w:bottom w:val="single" w:color="auto" w:sz="4" w:space="0"/>
            </w:tcBorders>
            <w:shd w:val="clear" w:color="auto" w:fill="FFFFFF"/>
            <w:noWrap w:val="0"/>
            <w:vAlign w:val="center"/>
          </w:tcPr>
          <w:p>
            <w:pPr>
              <w:widowControl/>
              <w:rPr>
                <w:rFonts w:ascii="宋体" w:hAnsi="宋体"/>
                <w:color w:val="000000"/>
                <w:sz w:val="18"/>
                <w:szCs w:val="18"/>
              </w:rPr>
            </w:pPr>
            <w:r>
              <w:rPr>
                <w:rFonts w:hint="eastAsia" w:ascii="黑体" w:hAnsi="黑体" w:eastAsia="黑体"/>
                <w:b/>
                <w:color w:val="000000"/>
                <w:sz w:val="24"/>
              </w:rPr>
              <w:t>一、历史文化</w:t>
            </w:r>
            <w:r>
              <w:rPr>
                <w:rFonts w:hint="eastAsia" w:ascii="黑体" w:hAnsi="黑体" w:eastAsia="黑体"/>
                <w:b/>
                <w:color w:val="000000"/>
                <w:sz w:val="24"/>
                <w:lang w:eastAsia="zh-CN"/>
              </w:rPr>
              <w:t>深厚</w:t>
            </w:r>
            <w:r>
              <w:rPr>
                <w:rFonts w:hint="eastAsia" w:ascii="黑体" w:hAnsi="黑体" w:eastAsia="黑体"/>
                <w:b/>
                <w:color w:val="000000"/>
                <w:sz w:val="24"/>
              </w:rPr>
              <w:t>（38分）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00" w:hRule="atLeast"/>
        </w:trPr>
        <w:tc>
          <w:tcPr>
            <w:tcW w:w="1339" w:type="dxa"/>
            <w:shd w:val="clear" w:color="auto" w:fill="FFFFFF"/>
            <w:noWrap w:val="0"/>
            <w:vAlign w:val="center"/>
          </w:tcPr>
          <w:p>
            <w:pPr>
              <w:widowControl/>
              <w:jc w:val="center"/>
              <w:rPr>
                <w:rFonts w:ascii="黑体" w:hAnsi="黑体" w:eastAsia="黑体"/>
                <w:color w:val="000000"/>
                <w:kern w:val="0"/>
                <w:szCs w:val="21"/>
              </w:rPr>
            </w:pPr>
            <w:r>
              <w:rPr>
                <w:rFonts w:hint="eastAsia" w:ascii="黑体" w:hAnsi="黑体" w:eastAsia="黑体"/>
                <w:color w:val="000000"/>
                <w:kern w:val="0"/>
                <w:szCs w:val="21"/>
              </w:rPr>
              <w:t>一级指标</w:t>
            </w:r>
          </w:p>
        </w:tc>
        <w:tc>
          <w:tcPr>
            <w:tcW w:w="1450" w:type="dxa"/>
            <w:shd w:val="clear" w:color="auto" w:fill="FFFFFF"/>
            <w:noWrap w:val="0"/>
            <w:vAlign w:val="center"/>
          </w:tcPr>
          <w:p>
            <w:pPr>
              <w:widowControl/>
              <w:jc w:val="center"/>
              <w:rPr>
                <w:rFonts w:ascii="黑体" w:hAnsi="黑体" w:eastAsia="黑体"/>
                <w:color w:val="000000"/>
                <w:kern w:val="0"/>
                <w:szCs w:val="21"/>
              </w:rPr>
            </w:pPr>
            <w:r>
              <w:rPr>
                <w:rFonts w:hint="eastAsia" w:ascii="黑体" w:hAnsi="黑体" w:eastAsia="黑体"/>
                <w:color w:val="000000"/>
                <w:kern w:val="0"/>
                <w:szCs w:val="21"/>
              </w:rPr>
              <w:t>二级指标</w:t>
            </w:r>
          </w:p>
        </w:tc>
        <w:tc>
          <w:tcPr>
            <w:tcW w:w="5387" w:type="dxa"/>
            <w:shd w:val="clear" w:color="auto" w:fill="FFFFFF"/>
            <w:noWrap w:val="0"/>
            <w:vAlign w:val="center"/>
          </w:tcPr>
          <w:p>
            <w:pPr>
              <w:widowControl/>
              <w:jc w:val="center"/>
              <w:rPr>
                <w:rFonts w:ascii="黑体" w:hAnsi="黑体" w:eastAsia="黑体"/>
                <w:color w:val="000000"/>
                <w:kern w:val="0"/>
                <w:szCs w:val="21"/>
              </w:rPr>
            </w:pPr>
            <w:r>
              <w:rPr>
                <w:rFonts w:hint="eastAsia" w:ascii="黑体" w:hAnsi="黑体" w:eastAsia="黑体"/>
                <w:color w:val="000000"/>
                <w:kern w:val="0"/>
                <w:szCs w:val="21"/>
              </w:rPr>
              <w:t>评分标准</w:t>
            </w:r>
          </w:p>
        </w:tc>
        <w:tc>
          <w:tcPr>
            <w:tcW w:w="6581" w:type="dxa"/>
            <w:shd w:val="clear" w:color="auto" w:fill="FFFFFF"/>
            <w:noWrap w:val="0"/>
            <w:vAlign w:val="center"/>
          </w:tcPr>
          <w:p>
            <w:pPr>
              <w:widowControl/>
              <w:jc w:val="center"/>
              <w:rPr>
                <w:rFonts w:ascii="黑体" w:hAnsi="黑体" w:eastAsia="黑体"/>
                <w:color w:val="000000"/>
                <w:kern w:val="0"/>
                <w:szCs w:val="21"/>
              </w:rPr>
            </w:pPr>
            <w:r>
              <w:rPr>
                <w:rFonts w:hint="eastAsia" w:ascii="黑体" w:hAnsi="黑体" w:eastAsia="黑体"/>
                <w:color w:val="000000"/>
                <w:kern w:val="0"/>
                <w:szCs w:val="21"/>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42" w:hRule="atLeast"/>
        </w:trPr>
        <w:tc>
          <w:tcPr>
            <w:tcW w:w="1339" w:type="dxa"/>
            <w:vMerge w:val="restart"/>
            <w:shd w:val="clear" w:color="auto" w:fill="FFFFFF"/>
            <w:noWrap w:val="0"/>
            <w:vAlign w:val="center"/>
          </w:tcPr>
          <w:p>
            <w:pPr>
              <w:widowControl/>
              <w:jc w:val="center"/>
              <w:rPr>
                <w:rFonts w:ascii="宋体" w:hAnsi="宋体"/>
                <w:b/>
                <w:color w:val="000000"/>
                <w:kern w:val="0"/>
                <w:sz w:val="18"/>
                <w:szCs w:val="18"/>
              </w:rPr>
            </w:pPr>
            <w:r>
              <w:rPr>
                <w:rFonts w:hint="eastAsia" w:ascii="宋体" w:hAnsi="宋体"/>
                <w:b/>
                <w:color w:val="000000"/>
                <w:kern w:val="0"/>
                <w:sz w:val="18"/>
                <w:szCs w:val="18"/>
              </w:rPr>
              <w:t>历史底蕴</w:t>
            </w:r>
            <w:r>
              <w:rPr>
                <w:rFonts w:hint="eastAsia" w:ascii="宋体" w:hAnsi="宋体"/>
                <w:b/>
                <w:color w:val="000000"/>
                <w:kern w:val="0"/>
                <w:sz w:val="18"/>
                <w:szCs w:val="18"/>
                <w:lang w:eastAsia="zh-CN"/>
              </w:rPr>
              <w:t>浓郁</w:t>
            </w:r>
          </w:p>
          <w:p>
            <w:pPr>
              <w:jc w:val="center"/>
              <w:rPr>
                <w:rFonts w:ascii="宋体" w:hAnsi="宋体"/>
                <w:b/>
                <w:color w:val="000000"/>
                <w:kern w:val="0"/>
                <w:sz w:val="18"/>
                <w:szCs w:val="18"/>
              </w:rPr>
            </w:pPr>
            <w:r>
              <w:rPr>
                <w:rFonts w:hint="eastAsia" w:ascii="宋体" w:hAnsi="宋体"/>
                <w:b/>
                <w:color w:val="000000"/>
                <w:kern w:val="0"/>
                <w:sz w:val="18"/>
                <w:szCs w:val="18"/>
              </w:rPr>
              <w:t>（11分）</w:t>
            </w:r>
          </w:p>
        </w:tc>
        <w:tc>
          <w:tcPr>
            <w:tcW w:w="1450" w:type="dxa"/>
            <w:shd w:val="clear" w:color="auto" w:fill="FFFFFF"/>
            <w:noWrap w:val="0"/>
            <w:vAlign w:val="center"/>
          </w:tcPr>
          <w:p>
            <w:pPr>
              <w:widowControl/>
              <w:jc w:val="center"/>
              <w:rPr>
                <w:rFonts w:hint="eastAsia" w:ascii="宋体" w:hAnsi="宋体" w:eastAsia="宋体"/>
                <w:b/>
                <w:color w:val="000000"/>
                <w:kern w:val="0"/>
                <w:sz w:val="18"/>
                <w:szCs w:val="18"/>
                <w:lang w:val="en-US" w:eastAsia="zh-Hans"/>
              </w:rPr>
            </w:pPr>
            <w:r>
              <w:rPr>
                <w:rFonts w:hint="eastAsia" w:ascii="宋体" w:hAnsi="宋体"/>
                <w:b/>
                <w:color w:val="000000"/>
                <w:kern w:val="0"/>
                <w:sz w:val="18"/>
                <w:szCs w:val="18"/>
              </w:rPr>
              <w:t>创立时间</w:t>
            </w:r>
            <w:r>
              <w:rPr>
                <w:rFonts w:hint="eastAsia" w:ascii="宋体" w:hAnsi="宋体"/>
                <w:b/>
                <w:color w:val="000000"/>
                <w:kern w:val="0"/>
                <w:sz w:val="18"/>
                <w:szCs w:val="18"/>
                <w:lang w:val="en-US" w:eastAsia="zh-Hans"/>
              </w:rPr>
              <w:t>悠久</w:t>
            </w:r>
          </w:p>
        </w:tc>
        <w:tc>
          <w:tcPr>
            <w:tcW w:w="5387" w:type="dxa"/>
            <w:shd w:val="clear" w:color="auto" w:fill="FFFFFF"/>
            <w:noWrap w:val="0"/>
            <w:vAlign w:val="center"/>
          </w:tcPr>
          <w:p>
            <w:pPr>
              <w:rPr>
                <w:rFonts w:ascii="宋体" w:hAnsi="宋体"/>
                <w:color w:val="000000"/>
                <w:kern w:val="0"/>
                <w:sz w:val="18"/>
                <w:szCs w:val="18"/>
              </w:rPr>
            </w:pPr>
            <w:r>
              <w:rPr>
                <w:rFonts w:hint="eastAsia" w:ascii="宋体" w:hAnsi="宋体"/>
                <w:color w:val="000000"/>
                <w:kern w:val="0"/>
                <w:sz w:val="18"/>
                <w:szCs w:val="18"/>
              </w:rPr>
              <w:t>品牌创立时间在</w:t>
            </w:r>
            <w:r>
              <w:rPr>
                <w:rFonts w:ascii="宋体" w:hAnsi="宋体"/>
                <w:color w:val="000000"/>
                <w:kern w:val="0"/>
                <w:sz w:val="18"/>
                <w:szCs w:val="18"/>
              </w:rPr>
              <w:t>50</w:t>
            </w:r>
            <w:r>
              <w:rPr>
                <w:rFonts w:hint="eastAsia" w:ascii="宋体" w:hAnsi="宋体"/>
                <w:color w:val="000000"/>
                <w:kern w:val="0"/>
                <w:sz w:val="18"/>
                <w:szCs w:val="18"/>
              </w:rPr>
              <w:t>年（含）以上。（3分）</w:t>
            </w:r>
          </w:p>
        </w:tc>
        <w:tc>
          <w:tcPr>
            <w:tcW w:w="6581" w:type="dxa"/>
            <w:shd w:val="clear" w:color="auto" w:fill="FFFFFF"/>
            <w:noWrap w:val="0"/>
            <w:vAlign w:val="center"/>
          </w:tcPr>
          <w:p>
            <w:pPr>
              <w:rPr>
                <w:rFonts w:ascii="宋体" w:hAnsi="宋体"/>
                <w:color w:val="000000"/>
                <w:kern w:val="0"/>
                <w:sz w:val="18"/>
                <w:szCs w:val="18"/>
              </w:rPr>
            </w:pPr>
            <w:r>
              <w:rPr>
                <w:rFonts w:hint="eastAsia" w:ascii="宋体" w:hAnsi="宋体"/>
                <w:color w:val="000000"/>
                <w:kern w:val="0"/>
                <w:sz w:val="18"/>
                <w:szCs w:val="18"/>
              </w:rPr>
              <w:t>品牌创立时间在5</w:t>
            </w:r>
            <w:r>
              <w:rPr>
                <w:rFonts w:ascii="宋体" w:hAnsi="宋体"/>
                <w:color w:val="000000"/>
                <w:kern w:val="0"/>
                <w:sz w:val="18"/>
                <w:szCs w:val="18"/>
              </w:rPr>
              <w:t>0</w:t>
            </w:r>
            <w:r>
              <w:rPr>
                <w:rFonts w:hint="eastAsia" w:ascii="宋体" w:hAnsi="宋体"/>
                <w:color w:val="000000"/>
                <w:kern w:val="0"/>
                <w:sz w:val="18"/>
                <w:szCs w:val="18"/>
              </w:rPr>
              <w:t>-6</w:t>
            </w:r>
            <w:r>
              <w:rPr>
                <w:rFonts w:ascii="宋体" w:hAnsi="宋体"/>
                <w:color w:val="000000"/>
                <w:kern w:val="0"/>
                <w:sz w:val="18"/>
                <w:szCs w:val="18"/>
              </w:rPr>
              <w:t>0</w:t>
            </w:r>
            <w:r>
              <w:rPr>
                <w:rFonts w:hint="eastAsia" w:ascii="宋体" w:hAnsi="宋体"/>
                <w:color w:val="000000"/>
                <w:kern w:val="0"/>
                <w:sz w:val="18"/>
                <w:szCs w:val="18"/>
              </w:rPr>
              <w:t>年（含）（1分）；品牌时间在</w:t>
            </w:r>
            <w:r>
              <w:rPr>
                <w:rFonts w:ascii="宋体" w:hAnsi="宋体"/>
                <w:color w:val="000000"/>
                <w:kern w:val="0"/>
                <w:sz w:val="18"/>
                <w:szCs w:val="18"/>
              </w:rPr>
              <w:t>60</w:t>
            </w:r>
            <w:r>
              <w:rPr>
                <w:rFonts w:hint="eastAsia" w:ascii="宋体" w:hAnsi="宋体"/>
                <w:color w:val="000000"/>
                <w:kern w:val="0"/>
                <w:sz w:val="18"/>
                <w:szCs w:val="18"/>
              </w:rPr>
              <w:t>-</w:t>
            </w:r>
            <w:r>
              <w:rPr>
                <w:rFonts w:ascii="宋体" w:hAnsi="宋体"/>
                <w:color w:val="000000"/>
                <w:kern w:val="0"/>
                <w:sz w:val="18"/>
                <w:szCs w:val="18"/>
              </w:rPr>
              <w:t>100</w:t>
            </w:r>
            <w:r>
              <w:rPr>
                <w:rFonts w:hint="eastAsia" w:ascii="宋体" w:hAnsi="宋体"/>
                <w:color w:val="000000"/>
                <w:kern w:val="0"/>
                <w:sz w:val="18"/>
                <w:szCs w:val="18"/>
              </w:rPr>
              <w:t>年（含）（2分）；品牌创立时间</w:t>
            </w:r>
            <w:r>
              <w:rPr>
                <w:rFonts w:ascii="宋体" w:hAnsi="宋体"/>
                <w:color w:val="000000"/>
                <w:kern w:val="0"/>
                <w:sz w:val="18"/>
                <w:szCs w:val="18"/>
              </w:rPr>
              <w:t>100</w:t>
            </w:r>
            <w:r>
              <w:rPr>
                <w:rFonts w:hint="eastAsia" w:ascii="宋体" w:hAnsi="宋体"/>
                <w:color w:val="000000"/>
                <w:kern w:val="0"/>
                <w:sz w:val="18"/>
                <w:szCs w:val="18"/>
              </w:rPr>
              <w:t>年以上（3分）。不重复得分。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813" w:hRule="atLeast"/>
        </w:trPr>
        <w:tc>
          <w:tcPr>
            <w:tcW w:w="1339" w:type="dxa"/>
            <w:vMerge w:val="continue"/>
            <w:shd w:val="clear" w:color="auto" w:fill="FFFFFF"/>
            <w:noWrap w:val="0"/>
            <w:vAlign w:val="center"/>
          </w:tcPr>
          <w:p>
            <w:pPr>
              <w:jc w:val="center"/>
              <w:rPr>
                <w:rFonts w:ascii="宋体" w:hAnsi="宋体"/>
                <w:b/>
                <w:color w:val="000000"/>
                <w:kern w:val="0"/>
                <w:sz w:val="18"/>
                <w:szCs w:val="18"/>
              </w:rPr>
            </w:pPr>
          </w:p>
        </w:tc>
        <w:tc>
          <w:tcPr>
            <w:tcW w:w="1450" w:type="dxa"/>
            <w:shd w:val="clear" w:color="auto" w:fill="FFFFFF"/>
            <w:noWrap w:val="0"/>
            <w:vAlign w:val="center"/>
          </w:tcPr>
          <w:p>
            <w:pPr>
              <w:widowControl/>
              <w:jc w:val="center"/>
              <w:rPr>
                <w:rFonts w:hint="eastAsia" w:ascii="宋体" w:hAnsi="宋体" w:eastAsia="宋体"/>
                <w:b/>
                <w:color w:val="000000"/>
                <w:kern w:val="0"/>
                <w:sz w:val="18"/>
                <w:szCs w:val="18"/>
                <w:lang w:val="en-US" w:eastAsia="zh-CN"/>
              </w:rPr>
            </w:pPr>
            <w:r>
              <w:rPr>
                <w:rFonts w:hint="eastAsia" w:ascii="宋体" w:hAnsi="宋体"/>
                <w:b/>
                <w:color w:val="000000"/>
                <w:kern w:val="0"/>
                <w:sz w:val="18"/>
                <w:szCs w:val="18"/>
              </w:rPr>
              <w:t>原址保护</w:t>
            </w:r>
            <w:r>
              <w:rPr>
                <w:rFonts w:hint="eastAsia" w:ascii="宋体" w:hAnsi="宋体"/>
                <w:b/>
                <w:color w:val="000000"/>
                <w:kern w:val="0"/>
                <w:sz w:val="18"/>
                <w:szCs w:val="18"/>
                <w:lang w:val="en-US" w:eastAsia="zh-Hans"/>
              </w:rPr>
              <w:t>完整</w:t>
            </w:r>
          </w:p>
        </w:tc>
        <w:tc>
          <w:tcPr>
            <w:tcW w:w="5387" w:type="dxa"/>
            <w:shd w:val="clear" w:color="auto" w:fill="FFFFFF"/>
            <w:noWrap w:val="0"/>
            <w:vAlign w:val="center"/>
          </w:tcPr>
          <w:p>
            <w:pPr>
              <w:rPr>
                <w:rFonts w:ascii="宋体" w:hAnsi="宋体"/>
                <w:color w:val="000000"/>
                <w:kern w:val="0"/>
                <w:sz w:val="18"/>
                <w:szCs w:val="18"/>
              </w:rPr>
            </w:pPr>
            <w:r>
              <w:rPr>
                <w:rFonts w:hint="eastAsia" w:ascii="宋体" w:hAnsi="宋体"/>
                <w:color w:val="000000"/>
                <w:kern w:val="0"/>
                <w:sz w:val="18"/>
                <w:szCs w:val="18"/>
              </w:rPr>
              <w:t>有塑造历史记忆、民族特色和文化传承的建筑或设施，生产经营场所被认定为文物保护单位。（5分）</w:t>
            </w:r>
          </w:p>
        </w:tc>
        <w:tc>
          <w:tcPr>
            <w:tcW w:w="6581" w:type="dxa"/>
            <w:shd w:val="clear" w:color="auto" w:fill="FFFFFF"/>
            <w:noWrap w:val="0"/>
            <w:vAlign w:val="center"/>
          </w:tcPr>
          <w:p>
            <w:pPr>
              <w:rPr>
                <w:rFonts w:ascii="宋体" w:hAnsi="宋体"/>
                <w:color w:val="000000"/>
                <w:kern w:val="0"/>
                <w:sz w:val="18"/>
                <w:szCs w:val="18"/>
              </w:rPr>
            </w:pPr>
            <w:r>
              <w:rPr>
                <w:rFonts w:hint="eastAsia" w:ascii="宋体" w:hAnsi="宋体"/>
                <w:color w:val="000000"/>
                <w:kern w:val="0"/>
                <w:sz w:val="18"/>
                <w:szCs w:val="18"/>
              </w:rPr>
              <w:t>生产经营场所被列为全国重点文物保护单位（5分）；生产经营场所被列为省级文物保护单位（4分）；生产经营场所被列为市级文物保护单位（3分）；生产经营场所被列为县级文物保护单位（2分）；生产经营场所被列为未核定为文物保护单位的不可移动文物或历史建筑（1分）。同时被列入以上各级的，按列入的最高层级得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1339" w:type="dxa"/>
            <w:vMerge w:val="continue"/>
            <w:shd w:val="clear" w:color="auto" w:fill="FFFFFF"/>
            <w:noWrap w:val="0"/>
            <w:vAlign w:val="center"/>
          </w:tcPr>
          <w:p>
            <w:pPr>
              <w:jc w:val="center"/>
              <w:rPr>
                <w:rFonts w:ascii="宋体" w:hAnsi="宋体"/>
                <w:b/>
                <w:color w:val="000000"/>
                <w:kern w:val="0"/>
                <w:sz w:val="18"/>
                <w:szCs w:val="18"/>
              </w:rPr>
            </w:pPr>
          </w:p>
        </w:tc>
        <w:tc>
          <w:tcPr>
            <w:tcW w:w="1450" w:type="dxa"/>
            <w:shd w:val="clear" w:color="auto" w:fill="FFFFFF"/>
            <w:noWrap w:val="0"/>
            <w:vAlign w:val="center"/>
          </w:tcPr>
          <w:p>
            <w:pPr>
              <w:widowControl/>
              <w:jc w:val="center"/>
              <w:rPr>
                <w:rFonts w:hint="eastAsia" w:ascii="宋体" w:hAnsi="宋体" w:eastAsia="宋体"/>
                <w:b/>
                <w:color w:val="000000"/>
                <w:kern w:val="0"/>
                <w:sz w:val="18"/>
                <w:szCs w:val="18"/>
                <w:lang w:val="en-US" w:eastAsia="zh-CN"/>
              </w:rPr>
            </w:pPr>
            <w:r>
              <w:rPr>
                <w:rFonts w:hint="eastAsia" w:ascii="宋体" w:hAnsi="宋体"/>
                <w:b/>
                <w:color w:val="000000"/>
                <w:kern w:val="0"/>
                <w:sz w:val="18"/>
                <w:szCs w:val="18"/>
              </w:rPr>
              <w:t>历史价值</w:t>
            </w:r>
            <w:r>
              <w:rPr>
                <w:rFonts w:hint="eastAsia" w:ascii="宋体" w:hAnsi="宋体"/>
                <w:b/>
                <w:color w:val="000000"/>
                <w:kern w:val="0"/>
                <w:sz w:val="18"/>
                <w:szCs w:val="18"/>
                <w:lang w:val="en-US" w:eastAsia="zh-CN"/>
              </w:rPr>
              <w:t>突出</w:t>
            </w:r>
          </w:p>
        </w:tc>
        <w:tc>
          <w:tcPr>
            <w:tcW w:w="5387" w:type="dxa"/>
            <w:shd w:val="clear" w:color="auto" w:fill="FFFFFF"/>
            <w:noWrap w:val="0"/>
            <w:vAlign w:val="center"/>
          </w:tcPr>
          <w:p>
            <w:pPr>
              <w:rPr>
                <w:rFonts w:ascii="宋体" w:hAnsi="宋体"/>
                <w:color w:val="000000"/>
                <w:kern w:val="0"/>
                <w:sz w:val="18"/>
                <w:szCs w:val="18"/>
              </w:rPr>
            </w:pPr>
            <w:r>
              <w:rPr>
                <w:rFonts w:hint="eastAsia" w:ascii="宋体" w:hAnsi="宋体"/>
                <w:color w:val="000000"/>
                <w:kern w:val="0"/>
                <w:sz w:val="18"/>
                <w:szCs w:val="18"/>
              </w:rPr>
              <w:t>具有突出的历史文化价值、较高的建筑艺术价值、体现一定的科学技术价值或其他价值特色的建筑。（3分）</w:t>
            </w:r>
          </w:p>
        </w:tc>
        <w:tc>
          <w:tcPr>
            <w:tcW w:w="6581" w:type="dxa"/>
            <w:shd w:val="clear" w:color="auto" w:fill="FFFFFF"/>
            <w:noWrap w:val="0"/>
            <w:vAlign w:val="center"/>
          </w:tcPr>
          <w:p>
            <w:pPr>
              <w:rPr>
                <w:rFonts w:ascii="宋体" w:hAnsi="宋体"/>
                <w:color w:val="000000"/>
                <w:kern w:val="0"/>
                <w:sz w:val="18"/>
                <w:szCs w:val="18"/>
              </w:rPr>
            </w:pPr>
            <w:r>
              <w:rPr>
                <w:rFonts w:hint="eastAsia" w:ascii="宋体" w:hAnsi="宋体"/>
                <w:color w:val="000000"/>
                <w:kern w:val="0"/>
                <w:sz w:val="18"/>
                <w:szCs w:val="18"/>
              </w:rPr>
              <w:t>与重要历史事件、历史名人相关联，在城市发展与建设史、行业发展史上具有代表性或历史文化意义（1分）；反映一定时期的建筑设计风格，建筑样式与细部等具有一定的艺术特色和价值，反映所在地域或民族的建筑艺术特点（1分）；在城市或乡村一定地域内具有标志性或象征性，具有群体心理认同感（1分）。每符合一项得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88" w:hRule="atLeast"/>
        </w:trPr>
        <w:tc>
          <w:tcPr>
            <w:tcW w:w="1339" w:type="dxa"/>
            <w:vMerge w:val="restart"/>
            <w:shd w:val="clear" w:color="auto" w:fill="FFFFFF"/>
            <w:noWrap w:val="0"/>
            <w:vAlign w:val="center"/>
          </w:tcPr>
          <w:p>
            <w:pPr>
              <w:jc w:val="center"/>
              <w:rPr>
                <w:rFonts w:ascii="宋体" w:hAnsi="宋体"/>
                <w:b/>
                <w:color w:val="000000"/>
                <w:kern w:val="0"/>
                <w:sz w:val="18"/>
                <w:szCs w:val="18"/>
              </w:rPr>
            </w:pPr>
            <w:r>
              <w:rPr>
                <w:rFonts w:hint="eastAsia" w:ascii="宋体" w:hAnsi="宋体"/>
                <w:b/>
                <w:color w:val="000000"/>
                <w:kern w:val="0"/>
                <w:sz w:val="18"/>
                <w:szCs w:val="18"/>
                <w:lang w:eastAsia="zh-CN"/>
              </w:rPr>
              <w:t>文化传承有力</w:t>
            </w:r>
            <w:r>
              <w:rPr>
                <w:rFonts w:hint="eastAsia" w:ascii="宋体" w:hAnsi="宋体"/>
                <w:b/>
                <w:color w:val="000000"/>
                <w:kern w:val="0"/>
                <w:sz w:val="18"/>
                <w:szCs w:val="18"/>
              </w:rPr>
              <w:t>（15分）</w:t>
            </w:r>
          </w:p>
        </w:tc>
        <w:tc>
          <w:tcPr>
            <w:tcW w:w="1450" w:type="dxa"/>
            <w:shd w:val="clear" w:color="auto" w:fill="FFFFFF"/>
            <w:noWrap w:val="0"/>
            <w:vAlign w:val="center"/>
          </w:tcPr>
          <w:p>
            <w:pPr>
              <w:widowControl/>
              <w:jc w:val="center"/>
              <w:rPr>
                <w:rFonts w:hint="eastAsia" w:ascii="宋体" w:hAnsi="宋体" w:eastAsia="宋体"/>
                <w:b/>
                <w:color w:val="000000"/>
                <w:kern w:val="0"/>
                <w:sz w:val="18"/>
                <w:szCs w:val="18"/>
                <w:lang w:val="en" w:eastAsia="zh-CN"/>
              </w:rPr>
            </w:pPr>
            <w:r>
              <w:rPr>
                <w:rFonts w:hint="eastAsia" w:ascii="宋体" w:hAnsi="宋体"/>
                <w:b/>
                <w:color w:val="000000"/>
                <w:kern w:val="0"/>
                <w:sz w:val="18"/>
                <w:szCs w:val="18"/>
                <w:lang w:val="en-US" w:eastAsia="zh-CN"/>
              </w:rPr>
              <w:t>技艺传承有序</w:t>
            </w:r>
          </w:p>
        </w:tc>
        <w:tc>
          <w:tcPr>
            <w:tcW w:w="5387" w:type="dxa"/>
            <w:shd w:val="clear" w:color="auto" w:fill="FFFFFF"/>
            <w:noWrap w:val="0"/>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相关文化或技艺等被列入非物质文化遗产名录情况。（5分）</w:t>
            </w:r>
          </w:p>
        </w:tc>
        <w:tc>
          <w:tcPr>
            <w:tcW w:w="6581" w:type="dxa"/>
            <w:shd w:val="clear" w:color="auto" w:fill="FFFFFF"/>
            <w:noWrap w:val="0"/>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相关文化或技艺等被列入国家级非物质文化遗产代表性项目名录、联合国教科文组织非物质文化遗产名录（名册）（5分）；相关文化或技艺等被列入省级非物质文化遗产代表性项目名录（3分）；相关文化或技艺等被列入市县级非物质文化遗产代表性项目名录（1分）。同时被列入以上各级名录的，按列入的最高层级得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57" w:hRule="atLeast"/>
        </w:trPr>
        <w:tc>
          <w:tcPr>
            <w:tcW w:w="1339" w:type="dxa"/>
            <w:vMerge w:val="continue"/>
            <w:shd w:val="clear" w:color="auto" w:fill="FFFFFF"/>
            <w:noWrap w:val="0"/>
            <w:vAlign w:val="center"/>
          </w:tcPr>
          <w:p>
            <w:pPr>
              <w:widowControl/>
              <w:jc w:val="center"/>
              <w:rPr>
                <w:rFonts w:ascii="宋体" w:hAnsi="宋体"/>
                <w:b/>
                <w:color w:val="000000"/>
                <w:kern w:val="0"/>
                <w:sz w:val="18"/>
                <w:szCs w:val="18"/>
              </w:rPr>
            </w:pPr>
          </w:p>
        </w:tc>
        <w:tc>
          <w:tcPr>
            <w:tcW w:w="1450" w:type="dxa"/>
            <w:shd w:val="clear" w:color="auto" w:fill="FFFFFF"/>
            <w:noWrap w:val="0"/>
            <w:vAlign w:val="center"/>
          </w:tcPr>
          <w:p>
            <w:pPr>
              <w:widowControl/>
              <w:jc w:val="center"/>
              <w:rPr>
                <w:rFonts w:hint="eastAsia" w:ascii="宋体" w:hAnsi="宋体"/>
                <w:b/>
                <w:color w:val="000000"/>
                <w:kern w:val="0"/>
                <w:sz w:val="18"/>
                <w:szCs w:val="18"/>
              </w:rPr>
            </w:pPr>
            <w:r>
              <w:rPr>
                <w:rFonts w:hint="eastAsia" w:ascii="宋体" w:hAnsi="宋体"/>
                <w:b/>
                <w:color w:val="000000"/>
                <w:kern w:val="0"/>
                <w:sz w:val="18"/>
                <w:szCs w:val="18"/>
              </w:rPr>
              <w:t>可移动文物</w:t>
            </w:r>
          </w:p>
          <w:p>
            <w:pPr>
              <w:widowControl/>
              <w:jc w:val="center"/>
              <w:rPr>
                <w:rFonts w:hint="eastAsia" w:ascii="宋体" w:hAnsi="宋体" w:eastAsia="宋体" w:cs="黑体"/>
                <w:b/>
                <w:color w:val="000000"/>
                <w:kern w:val="0"/>
                <w:sz w:val="18"/>
                <w:szCs w:val="18"/>
                <w:lang w:val="en" w:eastAsia="zh-CN"/>
              </w:rPr>
            </w:pPr>
            <w:r>
              <w:rPr>
                <w:rFonts w:hint="eastAsia" w:ascii="宋体" w:hAnsi="宋体"/>
                <w:b/>
                <w:color w:val="000000"/>
                <w:kern w:val="0"/>
                <w:sz w:val="18"/>
                <w:szCs w:val="18"/>
                <w:lang w:eastAsia="zh-CN"/>
              </w:rPr>
              <w:t>保护得当</w:t>
            </w:r>
          </w:p>
        </w:tc>
        <w:tc>
          <w:tcPr>
            <w:tcW w:w="5387" w:type="dxa"/>
            <w:shd w:val="clear" w:color="auto" w:fill="FFFFFF"/>
            <w:noWrap w:val="0"/>
            <w:vAlign w:val="center"/>
          </w:tcPr>
          <w:p>
            <w:pPr>
              <w:rPr>
                <w:rFonts w:ascii="宋体" w:hAnsi="宋体" w:cs="黑体"/>
                <w:color w:val="000000"/>
                <w:kern w:val="0"/>
                <w:sz w:val="18"/>
                <w:szCs w:val="18"/>
              </w:rPr>
            </w:pPr>
            <w:r>
              <w:rPr>
                <w:rFonts w:hint="eastAsia" w:ascii="宋体" w:hAnsi="宋体"/>
                <w:color w:val="000000"/>
                <w:kern w:val="0"/>
                <w:sz w:val="18"/>
                <w:szCs w:val="18"/>
              </w:rPr>
              <w:t>具有一定历史价值的重要实物、艺术品、文献、手稿、图书资料、代表性实物等珍贵文物或一般文物。（4分）</w:t>
            </w:r>
          </w:p>
        </w:tc>
        <w:tc>
          <w:tcPr>
            <w:tcW w:w="6581" w:type="dxa"/>
            <w:shd w:val="clear" w:color="auto" w:fill="FFFFFF"/>
            <w:noWrap w:val="0"/>
            <w:vAlign w:val="center"/>
          </w:tcPr>
          <w:p>
            <w:pPr>
              <w:rPr>
                <w:rFonts w:ascii="宋体" w:hAnsi="宋体" w:cs="黑体"/>
                <w:color w:val="000000"/>
                <w:kern w:val="0"/>
                <w:sz w:val="18"/>
                <w:szCs w:val="18"/>
              </w:rPr>
            </w:pPr>
            <w:r>
              <w:rPr>
                <w:rFonts w:hint="eastAsia" w:ascii="宋体" w:hAnsi="宋体"/>
                <w:color w:val="000000"/>
                <w:kern w:val="0"/>
                <w:sz w:val="18"/>
                <w:szCs w:val="18"/>
              </w:rPr>
              <w:t>具有一定历史价值的重要实物、艺术品、文献、手稿、图书资料、代表性实物等珍贵文物（3分）；具有一定历史价值的重要实物、艺术品、文献、手稿、图书资料、代表性实物等一般文物（1分）。每符合一项得1分，最多得</w:t>
            </w:r>
            <w:r>
              <w:rPr>
                <w:rFonts w:ascii="宋体" w:hAnsi="宋体"/>
                <w:color w:val="000000"/>
                <w:kern w:val="0"/>
                <w:sz w:val="18"/>
                <w:szCs w:val="18"/>
              </w:rPr>
              <w:t>4</w:t>
            </w:r>
            <w:r>
              <w:rPr>
                <w:rFonts w:hint="eastAsia" w:ascii="宋体" w:hAnsi="宋体"/>
                <w:color w:val="000000"/>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81" w:hRule="atLeast"/>
        </w:trPr>
        <w:tc>
          <w:tcPr>
            <w:tcW w:w="1339" w:type="dxa"/>
            <w:vMerge w:val="continue"/>
            <w:shd w:val="clear" w:color="auto" w:fill="FFFFFF"/>
            <w:noWrap w:val="0"/>
            <w:vAlign w:val="center"/>
          </w:tcPr>
          <w:p>
            <w:pPr>
              <w:widowControl/>
              <w:jc w:val="center"/>
              <w:rPr>
                <w:rFonts w:ascii="宋体" w:hAnsi="宋体"/>
                <w:b/>
                <w:color w:val="000000"/>
                <w:kern w:val="0"/>
                <w:sz w:val="18"/>
                <w:szCs w:val="18"/>
              </w:rPr>
            </w:pPr>
          </w:p>
        </w:tc>
        <w:tc>
          <w:tcPr>
            <w:tcW w:w="1450" w:type="dxa"/>
            <w:shd w:val="clear" w:color="auto" w:fill="FFFFFF"/>
            <w:noWrap w:val="0"/>
            <w:vAlign w:val="center"/>
          </w:tcPr>
          <w:p>
            <w:pPr>
              <w:widowControl/>
              <w:jc w:val="center"/>
              <w:rPr>
                <w:rFonts w:hint="eastAsia" w:ascii="宋体" w:hAnsi="宋体" w:eastAsia="宋体"/>
                <w:b/>
                <w:color w:val="000000"/>
                <w:kern w:val="0"/>
                <w:sz w:val="18"/>
                <w:szCs w:val="18"/>
                <w:lang w:val="en-US" w:eastAsia="zh-Hans"/>
              </w:rPr>
            </w:pPr>
            <w:r>
              <w:rPr>
                <w:rFonts w:hint="eastAsia" w:ascii="宋体" w:hAnsi="宋体"/>
                <w:b/>
                <w:color w:val="000000"/>
                <w:kern w:val="0"/>
                <w:sz w:val="18"/>
                <w:szCs w:val="18"/>
                <w:lang w:eastAsia="zh-CN"/>
              </w:rPr>
              <w:t>传承</w:t>
            </w:r>
            <w:r>
              <w:rPr>
                <w:rFonts w:hint="eastAsia" w:ascii="宋体" w:hAnsi="宋体"/>
                <w:b/>
                <w:color w:val="000000"/>
                <w:kern w:val="0"/>
                <w:sz w:val="18"/>
                <w:szCs w:val="18"/>
              </w:rPr>
              <w:t>载体</w:t>
            </w:r>
            <w:r>
              <w:rPr>
                <w:rFonts w:hint="eastAsia" w:ascii="宋体" w:hAnsi="宋体"/>
                <w:b/>
                <w:color w:val="000000"/>
                <w:kern w:val="0"/>
                <w:sz w:val="18"/>
                <w:szCs w:val="18"/>
                <w:lang w:val="en-US" w:eastAsia="zh-Hans"/>
              </w:rPr>
              <w:t>丰富</w:t>
            </w:r>
          </w:p>
        </w:tc>
        <w:tc>
          <w:tcPr>
            <w:tcW w:w="5387" w:type="dxa"/>
            <w:shd w:val="clear" w:color="auto" w:fill="FFFFFF"/>
            <w:noWrap w:val="0"/>
            <w:vAlign w:val="center"/>
          </w:tcPr>
          <w:p>
            <w:pPr>
              <w:widowControl/>
              <w:jc w:val="left"/>
              <w:rPr>
                <w:rFonts w:ascii="黑体" w:hAnsi="黑体" w:eastAsia="黑体"/>
                <w:color w:val="000000"/>
                <w:kern w:val="0"/>
                <w:szCs w:val="21"/>
              </w:rPr>
            </w:pPr>
            <w:r>
              <w:rPr>
                <w:rFonts w:hint="eastAsia" w:ascii="宋体" w:hAnsi="宋体"/>
                <w:color w:val="000000"/>
                <w:kern w:val="0"/>
                <w:sz w:val="18"/>
                <w:szCs w:val="18"/>
              </w:rPr>
              <w:t>建有体现品牌文化价值的博物馆、文化馆等。（4分）</w:t>
            </w:r>
          </w:p>
        </w:tc>
        <w:tc>
          <w:tcPr>
            <w:tcW w:w="6581" w:type="dxa"/>
            <w:shd w:val="clear" w:color="auto" w:fill="FFFFFF"/>
            <w:noWrap w:val="0"/>
            <w:vAlign w:val="center"/>
          </w:tcPr>
          <w:p>
            <w:pPr>
              <w:widowControl/>
              <w:jc w:val="left"/>
              <w:rPr>
                <w:rFonts w:ascii="黑体" w:hAnsi="黑体" w:eastAsia="黑体"/>
                <w:color w:val="000000"/>
                <w:kern w:val="0"/>
                <w:szCs w:val="21"/>
              </w:rPr>
            </w:pPr>
            <w:r>
              <w:rPr>
                <w:rFonts w:hint="eastAsia" w:ascii="宋体" w:hAnsi="宋体"/>
                <w:color w:val="000000"/>
                <w:kern w:val="0"/>
                <w:sz w:val="18"/>
                <w:szCs w:val="18"/>
              </w:rPr>
              <w:t>相关部门认定的一级博物馆或一级文化馆（4分）；相关部门认定的二</w:t>
            </w:r>
            <w:r>
              <w:rPr>
                <w:rFonts w:hint="eastAsia" w:ascii="宋体" w:hAnsi="宋体"/>
                <w:color w:val="000000"/>
                <w:kern w:val="0"/>
                <w:sz w:val="18"/>
                <w:szCs w:val="18"/>
                <w:lang w:eastAsia="zh-CN"/>
              </w:rPr>
              <w:t>、三</w:t>
            </w:r>
            <w:r>
              <w:rPr>
                <w:rFonts w:hint="eastAsia" w:ascii="宋体" w:hAnsi="宋体"/>
                <w:color w:val="000000"/>
                <w:kern w:val="0"/>
                <w:sz w:val="18"/>
                <w:szCs w:val="18"/>
              </w:rPr>
              <w:t>级博物馆或二</w:t>
            </w:r>
            <w:r>
              <w:rPr>
                <w:rFonts w:hint="eastAsia" w:ascii="宋体" w:hAnsi="宋体"/>
                <w:color w:val="000000"/>
                <w:kern w:val="0"/>
                <w:sz w:val="18"/>
                <w:szCs w:val="18"/>
                <w:lang w:eastAsia="zh-CN"/>
              </w:rPr>
              <w:t>、三</w:t>
            </w:r>
            <w:r>
              <w:rPr>
                <w:rFonts w:hint="eastAsia" w:ascii="宋体" w:hAnsi="宋体"/>
                <w:color w:val="000000"/>
                <w:kern w:val="0"/>
                <w:sz w:val="18"/>
                <w:szCs w:val="18"/>
              </w:rPr>
              <w:t>级文化馆（3分）；建有专门的已经文物部门备案但未评定等级的博物馆或文化馆（2分）；建有专门的但未经</w:t>
            </w:r>
            <w:r>
              <w:rPr>
                <w:rFonts w:hint="eastAsia" w:ascii="宋体" w:hAnsi="宋体"/>
                <w:color w:val="000000"/>
                <w:kern w:val="0"/>
                <w:sz w:val="18"/>
                <w:szCs w:val="18"/>
                <w:lang w:eastAsia="zh-CN"/>
              </w:rPr>
              <w:t>文物</w:t>
            </w:r>
            <w:r>
              <w:rPr>
                <w:rFonts w:hint="eastAsia" w:ascii="宋体" w:hAnsi="宋体"/>
                <w:color w:val="000000"/>
                <w:kern w:val="0"/>
                <w:sz w:val="18"/>
                <w:szCs w:val="18"/>
              </w:rPr>
              <w:t>部门</w:t>
            </w:r>
            <w:r>
              <w:rPr>
                <w:rFonts w:hint="eastAsia" w:ascii="宋体" w:hAnsi="宋体"/>
                <w:color w:val="000000"/>
                <w:kern w:val="0"/>
                <w:sz w:val="18"/>
                <w:szCs w:val="18"/>
                <w:lang w:eastAsia="zh-CN"/>
              </w:rPr>
              <w:t>备案</w:t>
            </w:r>
            <w:r>
              <w:rPr>
                <w:rFonts w:hint="eastAsia" w:ascii="宋体" w:hAnsi="宋体"/>
                <w:color w:val="000000"/>
                <w:kern w:val="0"/>
                <w:sz w:val="18"/>
                <w:szCs w:val="18"/>
              </w:rPr>
              <w:t>的博物馆或文化馆（1分）。同时获得不同层级部门或机构颁发的荣誉的，按所获最高层部门或机构颁发的荣誉得分，不重复得分。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12" w:hRule="atLeast"/>
        </w:trPr>
        <w:tc>
          <w:tcPr>
            <w:tcW w:w="1339" w:type="dxa"/>
            <w:vMerge w:val="continue"/>
            <w:shd w:val="clear" w:color="auto" w:fill="FFFFFF"/>
            <w:noWrap w:val="0"/>
            <w:vAlign w:val="center"/>
          </w:tcPr>
          <w:p>
            <w:pPr>
              <w:widowControl/>
              <w:jc w:val="center"/>
              <w:rPr>
                <w:rFonts w:ascii="宋体" w:hAnsi="宋体"/>
                <w:b/>
                <w:color w:val="000000"/>
                <w:kern w:val="0"/>
                <w:sz w:val="18"/>
                <w:szCs w:val="18"/>
              </w:rPr>
            </w:pPr>
          </w:p>
        </w:tc>
        <w:tc>
          <w:tcPr>
            <w:tcW w:w="1450" w:type="dxa"/>
            <w:shd w:val="clear" w:color="auto" w:fill="FFFFFF"/>
            <w:noWrap w:val="0"/>
            <w:vAlign w:val="center"/>
          </w:tcPr>
          <w:p>
            <w:pPr>
              <w:widowControl/>
              <w:jc w:val="center"/>
              <w:rPr>
                <w:rFonts w:hint="eastAsia" w:ascii="宋体" w:hAnsi="宋体" w:eastAsia="宋体"/>
                <w:b/>
                <w:color w:val="000000"/>
                <w:kern w:val="0"/>
                <w:sz w:val="18"/>
                <w:szCs w:val="18"/>
                <w:lang w:val="en-US" w:eastAsia="zh-Hans"/>
              </w:rPr>
            </w:pPr>
            <w:r>
              <w:rPr>
                <w:rFonts w:hint="eastAsia" w:ascii="宋体" w:hAnsi="宋体"/>
                <w:b/>
                <w:color w:val="000000"/>
                <w:kern w:val="0"/>
                <w:sz w:val="18"/>
                <w:szCs w:val="18"/>
              </w:rPr>
              <w:t>理念</w:t>
            </w:r>
            <w:r>
              <w:rPr>
                <w:rFonts w:hint="eastAsia" w:ascii="宋体" w:hAnsi="宋体"/>
                <w:b/>
                <w:color w:val="000000"/>
                <w:kern w:val="0"/>
                <w:sz w:val="18"/>
                <w:szCs w:val="18"/>
                <w:lang w:eastAsia="zh-CN"/>
              </w:rPr>
              <w:t>影响</w:t>
            </w:r>
            <w:r>
              <w:rPr>
                <w:rFonts w:hint="eastAsia" w:ascii="宋体" w:hAnsi="宋体"/>
                <w:b/>
                <w:color w:val="000000"/>
                <w:kern w:val="0"/>
                <w:sz w:val="18"/>
                <w:szCs w:val="18"/>
                <w:lang w:val="en-US" w:eastAsia="zh-Hans"/>
              </w:rPr>
              <w:t>深远</w:t>
            </w:r>
          </w:p>
        </w:tc>
        <w:tc>
          <w:tcPr>
            <w:tcW w:w="5387" w:type="dxa"/>
            <w:shd w:val="clear" w:color="auto" w:fill="FFFFFF"/>
            <w:noWrap w:val="0"/>
            <w:vAlign w:val="center"/>
          </w:tcPr>
          <w:p>
            <w:pPr>
              <w:rPr>
                <w:rFonts w:ascii="黑体" w:hAnsi="黑体" w:eastAsia="黑体"/>
                <w:color w:val="000000"/>
                <w:kern w:val="0"/>
                <w:szCs w:val="21"/>
              </w:rPr>
            </w:pPr>
            <w:r>
              <w:rPr>
                <w:rFonts w:hint="eastAsia" w:ascii="宋体" w:hAnsi="宋体"/>
                <w:color w:val="000000"/>
                <w:kern w:val="0"/>
                <w:sz w:val="18"/>
                <w:szCs w:val="18"/>
              </w:rPr>
              <w:t>具有历代传承的店训、堂训、师训、店规等文化资源，并组织典礼仪式等活动。（2分）</w:t>
            </w:r>
          </w:p>
        </w:tc>
        <w:tc>
          <w:tcPr>
            <w:tcW w:w="6581" w:type="dxa"/>
            <w:shd w:val="clear" w:color="auto" w:fill="FFFFFF"/>
            <w:noWrap w:val="0"/>
            <w:vAlign w:val="center"/>
          </w:tcPr>
          <w:p>
            <w:pPr>
              <w:rPr>
                <w:rFonts w:ascii="黑体" w:hAnsi="黑体" w:eastAsia="黑体"/>
                <w:color w:val="000000"/>
                <w:kern w:val="0"/>
                <w:szCs w:val="21"/>
              </w:rPr>
            </w:pPr>
            <w:r>
              <w:rPr>
                <w:rFonts w:hint="eastAsia" w:ascii="宋体" w:hAnsi="宋体"/>
                <w:color w:val="000000"/>
                <w:kern w:val="0"/>
                <w:sz w:val="18"/>
                <w:szCs w:val="18"/>
              </w:rPr>
              <w:t>有历代传承且在社会上有一定影响力的典礼仪式等文化活动（1分）；有历代传承的店训、堂训、师训、店规等品牌文化（1分）。每符合一项得</w:t>
            </w:r>
            <w:r>
              <w:rPr>
                <w:rFonts w:ascii="宋体" w:hAnsi="宋体"/>
                <w:color w:val="000000"/>
                <w:kern w:val="0"/>
                <w:sz w:val="18"/>
                <w:szCs w:val="18"/>
              </w:rPr>
              <w:t>1</w:t>
            </w:r>
            <w:r>
              <w:rPr>
                <w:rFonts w:hint="eastAsia" w:ascii="宋体" w:hAnsi="宋体"/>
                <w:color w:val="000000"/>
                <w:kern w:val="0"/>
                <w:sz w:val="18"/>
                <w:szCs w:val="18"/>
              </w:rPr>
              <w:t>分，最多得</w:t>
            </w:r>
            <w:r>
              <w:rPr>
                <w:rFonts w:ascii="宋体" w:hAnsi="宋体"/>
                <w:color w:val="000000"/>
                <w:kern w:val="0"/>
                <w:sz w:val="18"/>
                <w:szCs w:val="18"/>
              </w:rPr>
              <w:t>2</w:t>
            </w:r>
            <w:r>
              <w:rPr>
                <w:rFonts w:hint="eastAsia" w:ascii="宋体" w:hAnsi="宋体"/>
                <w:color w:val="000000"/>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541" w:hRule="atLeast"/>
        </w:trPr>
        <w:tc>
          <w:tcPr>
            <w:tcW w:w="1339" w:type="dxa"/>
            <w:vMerge w:val="restart"/>
            <w:shd w:val="clear" w:color="auto" w:fill="FFFFFF"/>
            <w:noWrap w:val="0"/>
            <w:vAlign w:val="center"/>
          </w:tcPr>
          <w:p>
            <w:pPr>
              <w:widowControl/>
              <w:jc w:val="center"/>
              <w:rPr>
                <w:rFonts w:ascii="宋体" w:hAnsi="宋体"/>
                <w:b/>
                <w:color w:val="000000"/>
                <w:kern w:val="0"/>
                <w:sz w:val="18"/>
                <w:szCs w:val="18"/>
              </w:rPr>
            </w:pPr>
            <w:r>
              <w:rPr>
                <w:rFonts w:hint="eastAsia" w:ascii="宋体" w:hAnsi="宋体"/>
                <w:b/>
                <w:color w:val="000000"/>
                <w:kern w:val="0"/>
                <w:sz w:val="18"/>
                <w:szCs w:val="18"/>
              </w:rPr>
              <w:t>品牌</w:t>
            </w:r>
            <w:r>
              <w:rPr>
                <w:rFonts w:hint="eastAsia" w:ascii="宋体" w:hAnsi="宋体"/>
                <w:b/>
                <w:color w:val="000000"/>
                <w:kern w:val="0"/>
                <w:sz w:val="18"/>
                <w:szCs w:val="18"/>
                <w:lang w:eastAsia="zh-CN"/>
              </w:rPr>
              <w:t>建设规范</w:t>
            </w:r>
          </w:p>
          <w:p>
            <w:pPr>
              <w:jc w:val="center"/>
              <w:rPr>
                <w:rFonts w:ascii="宋体" w:hAnsi="宋体"/>
                <w:b/>
                <w:color w:val="000000"/>
                <w:kern w:val="0"/>
                <w:sz w:val="18"/>
                <w:szCs w:val="18"/>
              </w:rPr>
            </w:pPr>
            <w:r>
              <w:rPr>
                <w:rFonts w:hint="eastAsia" w:ascii="宋体" w:hAnsi="宋体"/>
                <w:b/>
                <w:color w:val="000000"/>
                <w:kern w:val="0"/>
                <w:sz w:val="18"/>
                <w:szCs w:val="18"/>
              </w:rPr>
              <w:t>（12分）</w:t>
            </w:r>
          </w:p>
        </w:tc>
        <w:tc>
          <w:tcPr>
            <w:tcW w:w="1450" w:type="dxa"/>
            <w:shd w:val="clear" w:color="auto" w:fill="FFFFFF"/>
            <w:noWrap w:val="0"/>
            <w:vAlign w:val="center"/>
          </w:tcPr>
          <w:p>
            <w:pPr>
              <w:widowControl/>
              <w:jc w:val="center"/>
              <w:rPr>
                <w:rFonts w:hint="eastAsia" w:ascii="宋体" w:hAnsi="宋体" w:eastAsia="宋体"/>
                <w:b/>
                <w:color w:val="000000"/>
                <w:kern w:val="0"/>
                <w:sz w:val="18"/>
                <w:szCs w:val="18"/>
                <w:lang w:eastAsia="zh-CN"/>
              </w:rPr>
            </w:pPr>
            <w:r>
              <w:rPr>
                <w:rFonts w:hint="eastAsia" w:ascii="宋体" w:hAnsi="宋体"/>
                <w:b/>
                <w:color w:val="000000"/>
                <w:kern w:val="0"/>
                <w:sz w:val="18"/>
                <w:szCs w:val="18"/>
                <w:lang w:val="en-US" w:eastAsia="zh-Hans"/>
              </w:rPr>
              <w:t>品牌</w:t>
            </w:r>
            <w:r>
              <w:rPr>
                <w:rFonts w:hint="eastAsia" w:ascii="宋体" w:hAnsi="宋体"/>
                <w:b/>
                <w:color w:val="000000"/>
                <w:kern w:val="0"/>
                <w:sz w:val="18"/>
                <w:szCs w:val="18"/>
              </w:rPr>
              <w:t>权属</w:t>
            </w:r>
            <w:r>
              <w:rPr>
                <w:rFonts w:hint="eastAsia" w:ascii="宋体" w:hAnsi="宋体"/>
                <w:b/>
                <w:color w:val="000000"/>
                <w:kern w:val="0"/>
                <w:sz w:val="18"/>
                <w:szCs w:val="18"/>
                <w:lang w:eastAsia="zh-CN"/>
              </w:rPr>
              <w:t>清晰</w:t>
            </w:r>
          </w:p>
        </w:tc>
        <w:tc>
          <w:tcPr>
            <w:tcW w:w="5387" w:type="dxa"/>
            <w:shd w:val="clear" w:color="auto" w:fill="FFFFFF"/>
            <w:noWrap w:val="0"/>
            <w:vAlign w:val="center"/>
          </w:tcPr>
          <w:p>
            <w:pPr>
              <w:rPr>
                <w:rFonts w:ascii="宋体" w:hAnsi="宋体"/>
                <w:color w:val="000000"/>
                <w:sz w:val="18"/>
                <w:szCs w:val="18"/>
              </w:rPr>
            </w:pPr>
            <w:r>
              <w:rPr>
                <w:rFonts w:hint="eastAsia" w:ascii="宋体" w:hAnsi="宋体"/>
                <w:color w:val="000000"/>
                <w:sz w:val="18"/>
                <w:szCs w:val="18"/>
              </w:rPr>
              <w:t>依法拥有与中华老字号品牌相一致的企业字号或注册商标的所有权或使用权。</w:t>
            </w:r>
            <w:r>
              <w:rPr>
                <w:rFonts w:hint="eastAsia" w:ascii="宋体" w:hAnsi="宋体"/>
                <w:color w:val="000000"/>
                <w:kern w:val="0"/>
                <w:sz w:val="18"/>
                <w:szCs w:val="18"/>
              </w:rPr>
              <w:t>（6分）</w:t>
            </w:r>
          </w:p>
        </w:tc>
        <w:tc>
          <w:tcPr>
            <w:tcW w:w="6581" w:type="dxa"/>
            <w:shd w:val="clear" w:color="auto" w:fill="FFFFFF"/>
            <w:noWrap w:val="0"/>
            <w:vAlign w:val="center"/>
          </w:tcPr>
          <w:p>
            <w:pPr>
              <w:rPr>
                <w:rFonts w:ascii="宋体" w:hAnsi="宋体"/>
                <w:color w:val="000000"/>
                <w:sz w:val="18"/>
                <w:szCs w:val="18"/>
              </w:rPr>
            </w:pPr>
            <w:r>
              <w:rPr>
                <w:rFonts w:hint="eastAsia" w:ascii="宋体" w:hAnsi="宋体"/>
                <w:color w:val="000000"/>
                <w:kern w:val="0"/>
                <w:sz w:val="18"/>
                <w:szCs w:val="18"/>
              </w:rPr>
              <w:t>企业字号与品牌相一致（2分）；拥有与品牌相一致的注册商标使用权（3分）；拥有与品牌相一致的注册商标所有权（4分）；企业字号、注册商标与品牌均相一致，且拥有注册商标使用权（5分）；企业字号、注册商标与品牌均相一致，且拥有注册商标所有权（6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32" w:hRule="atLeast"/>
        </w:trPr>
        <w:tc>
          <w:tcPr>
            <w:tcW w:w="1339" w:type="dxa"/>
            <w:vMerge w:val="continue"/>
            <w:shd w:val="clear" w:color="auto" w:fill="FFFFFF"/>
            <w:noWrap w:val="0"/>
            <w:vAlign w:val="center"/>
          </w:tcPr>
          <w:p>
            <w:pPr>
              <w:widowControl/>
              <w:jc w:val="center"/>
              <w:rPr>
                <w:rFonts w:ascii="宋体" w:hAnsi="宋体"/>
                <w:b/>
                <w:color w:val="000000"/>
                <w:kern w:val="0"/>
                <w:sz w:val="18"/>
                <w:szCs w:val="18"/>
              </w:rPr>
            </w:pPr>
          </w:p>
        </w:tc>
        <w:tc>
          <w:tcPr>
            <w:tcW w:w="1450" w:type="dxa"/>
            <w:shd w:val="clear" w:color="auto" w:fill="FFFFFF"/>
            <w:noWrap w:val="0"/>
            <w:vAlign w:val="center"/>
          </w:tcPr>
          <w:p>
            <w:pPr>
              <w:widowControl/>
              <w:jc w:val="center"/>
              <w:rPr>
                <w:rFonts w:hint="eastAsia" w:ascii="宋体" w:hAnsi="宋体" w:eastAsia="宋体"/>
                <w:b/>
                <w:color w:val="000000"/>
                <w:kern w:val="0"/>
                <w:sz w:val="18"/>
                <w:szCs w:val="18"/>
                <w:lang w:val="en-US" w:eastAsia="zh-CN"/>
              </w:rPr>
            </w:pPr>
            <w:r>
              <w:rPr>
                <w:rFonts w:hint="eastAsia" w:ascii="宋体" w:hAnsi="宋体"/>
                <w:b/>
                <w:color w:val="000000"/>
                <w:kern w:val="0"/>
                <w:sz w:val="18"/>
                <w:szCs w:val="18"/>
              </w:rPr>
              <w:t>驰名商标</w:t>
            </w:r>
            <w:r>
              <w:rPr>
                <w:rFonts w:hint="eastAsia" w:ascii="宋体" w:hAnsi="宋体"/>
                <w:b/>
                <w:color w:val="000000"/>
                <w:kern w:val="0"/>
                <w:sz w:val="18"/>
                <w:szCs w:val="18"/>
                <w:lang w:val="en-US" w:eastAsia="zh-CN"/>
              </w:rPr>
              <w:t>保护</w:t>
            </w:r>
          </w:p>
        </w:tc>
        <w:tc>
          <w:tcPr>
            <w:tcW w:w="5387" w:type="dxa"/>
            <w:shd w:val="clear" w:color="auto" w:fill="FFFFFF"/>
            <w:noWrap w:val="0"/>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与品牌一致的注册商标有驰名商标认定记录。（3分）</w:t>
            </w:r>
          </w:p>
        </w:tc>
        <w:tc>
          <w:tcPr>
            <w:tcW w:w="6581" w:type="dxa"/>
            <w:shd w:val="clear" w:color="auto" w:fill="FFFFFF"/>
            <w:noWrap w:val="0"/>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持有与品牌一致的商标并受驰名商标保护的（3分）；持有与品牌不一致的商标并受驰名商标保护的（2分）。不重复得分。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541" w:hRule="atLeast"/>
        </w:trPr>
        <w:tc>
          <w:tcPr>
            <w:tcW w:w="1339" w:type="dxa"/>
            <w:vMerge w:val="continue"/>
            <w:shd w:val="clear" w:color="auto" w:fill="FFFFFF"/>
            <w:noWrap w:val="0"/>
            <w:vAlign w:val="center"/>
          </w:tcPr>
          <w:p>
            <w:pPr>
              <w:widowControl/>
              <w:jc w:val="center"/>
              <w:rPr>
                <w:rFonts w:ascii="宋体" w:hAnsi="宋体"/>
                <w:b/>
                <w:color w:val="000000"/>
                <w:kern w:val="0"/>
                <w:sz w:val="18"/>
                <w:szCs w:val="18"/>
              </w:rPr>
            </w:pPr>
          </w:p>
        </w:tc>
        <w:tc>
          <w:tcPr>
            <w:tcW w:w="1450" w:type="dxa"/>
            <w:shd w:val="clear" w:color="auto" w:fill="FFFFFF"/>
            <w:noWrap w:val="0"/>
            <w:vAlign w:val="center"/>
          </w:tcPr>
          <w:p>
            <w:pPr>
              <w:widowControl/>
              <w:jc w:val="center"/>
              <w:rPr>
                <w:rFonts w:hint="eastAsia" w:ascii="宋体" w:hAnsi="宋体" w:eastAsia="宋体"/>
                <w:b/>
                <w:color w:val="000000"/>
                <w:kern w:val="0"/>
                <w:sz w:val="18"/>
                <w:szCs w:val="18"/>
                <w:lang w:val="en-US" w:eastAsia="zh-Hans"/>
              </w:rPr>
            </w:pPr>
            <w:r>
              <w:rPr>
                <w:rFonts w:hint="eastAsia" w:ascii="宋体" w:hAnsi="宋体"/>
                <w:b/>
                <w:color w:val="000000"/>
                <w:kern w:val="0"/>
                <w:sz w:val="18"/>
                <w:szCs w:val="18"/>
              </w:rPr>
              <w:t>宣传</w:t>
            </w:r>
            <w:r>
              <w:rPr>
                <w:rFonts w:hint="eastAsia" w:ascii="宋体" w:hAnsi="宋体"/>
                <w:b/>
                <w:color w:val="000000"/>
                <w:kern w:val="0"/>
                <w:sz w:val="18"/>
                <w:szCs w:val="18"/>
                <w:lang w:eastAsia="zh-CN"/>
              </w:rPr>
              <w:t>方式多样</w:t>
            </w:r>
          </w:p>
        </w:tc>
        <w:tc>
          <w:tcPr>
            <w:tcW w:w="5387" w:type="dxa"/>
            <w:shd w:val="clear" w:color="auto" w:fill="FFFFFF"/>
            <w:noWrap w:val="0"/>
            <w:vAlign w:val="center"/>
          </w:tcPr>
          <w:p>
            <w:pPr>
              <w:widowControl/>
              <w:jc w:val="left"/>
              <w:rPr>
                <w:rFonts w:ascii="黑体" w:hAnsi="黑体" w:eastAsia="黑体"/>
                <w:color w:val="000000"/>
                <w:kern w:val="0"/>
                <w:szCs w:val="21"/>
              </w:rPr>
            </w:pPr>
            <w:r>
              <w:rPr>
                <w:rFonts w:hint="eastAsia" w:ascii="宋体" w:hAnsi="宋体"/>
                <w:color w:val="000000"/>
                <w:kern w:val="0"/>
                <w:sz w:val="18"/>
                <w:szCs w:val="18"/>
              </w:rPr>
              <w:t>运用多种方式积极宣传品牌文化和掌门人故事。（3分）</w:t>
            </w:r>
          </w:p>
        </w:tc>
        <w:tc>
          <w:tcPr>
            <w:tcW w:w="6581" w:type="dxa"/>
            <w:shd w:val="clear" w:color="auto" w:fill="FFFFFF"/>
            <w:noWrap w:val="0"/>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在电影、电视剧中宣传和展示品牌文化或掌门人故事（1分）；以广告、视频（微视频、纪录片）、宣传册等形式宣传和展示品牌文化或掌门人故事（1分）；在新媒体平台（微博、微信、抖音、快手等）宣传和展示品牌文化或掌门人故事（1分）。每符合一项得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14757" w:type="dxa"/>
            <w:gridSpan w:val="4"/>
            <w:tcBorders>
              <w:bottom w:val="single" w:color="auto" w:sz="4" w:space="0"/>
            </w:tcBorders>
            <w:shd w:val="clear" w:color="auto" w:fill="FFFFFF"/>
            <w:noWrap w:val="0"/>
            <w:vAlign w:val="center"/>
          </w:tcPr>
          <w:p>
            <w:pPr>
              <w:widowControl/>
              <w:jc w:val="left"/>
              <w:rPr>
                <w:rFonts w:ascii="宋体" w:hAnsi="宋体"/>
                <w:color w:val="000000"/>
                <w:kern w:val="0"/>
                <w:sz w:val="18"/>
                <w:szCs w:val="18"/>
              </w:rPr>
            </w:pPr>
            <w:r>
              <w:rPr>
                <w:rFonts w:hint="eastAsia" w:ascii="黑体" w:hAnsi="黑体" w:eastAsia="黑体"/>
                <w:b/>
                <w:color w:val="000000"/>
                <w:sz w:val="24"/>
              </w:rPr>
              <w:t>二、经营管理</w:t>
            </w:r>
            <w:r>
              <w:rPr>
                <w:rFonts w:hint="eastAsia" w:ascii="黑体" w:hAnsi="黑体" w:eastAsia="黑体"/>
                <w:b/>
                <w:color w:val="000000"/>
                <w:sz w:val="24"/>
                <w:lang w:eastAsia="zh-CN"/>
              </w:rPr>
              <w:t>规范</w:t>
            </w:r>
            <w:r>
              <w:rPr>
                <w:rFonts w:hint="eastAsia" w:ascii="黑体" w:hAnsi="黑体" w:eastAsia="黑体"/>
                <w:b/>
                <w:color w:val="000000"/>
                <w:sz w:val="24"/>
              </w:rPr>
              <w:t>（22分）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3" w:hRule="atLeast"/>
        </w:trPr>
        <w:tc>
          <w:tcPr>
            <w:tcW w:w="1339" w:type="dxa"/>
            <w:shd w:val="clear" w:color="auto" w:fill="FFFFFF"/>
            <w:noWrap w:val="0"/>
            <w:vAlign w:val="center"/>
          </w:tcPr>
          <w:p>
            <w:pPr>
              <w:widowControl/>
              <w:jc w:val="center"/>
              <w:rPr>
                <w:rFonts w:ascii="黑体" w:hAnsi="黑体" w:eastAsia="黑体"/>
                <w:color w:val="000000"/>
                <w:kern w:val="0"/>
                <w:szCs w:val="21"/>
              </w:rPr>
            </w:pPr>
            <w:r>
              <w:rPr>
                <w:rFonts w:hint="eastAsia" w:ascii="黑体" w:hAnsi="黑体" w:eastAsia="黑体"/>
                <w:color w:val="000000"/>
                <w:kern w:val="0"/>
                <w:szCs w:val="21"/>
              </w:rPr>
              <w:t>一级指标</w:t>
            </w:r>
          </w:p>
        </w:tc>
        <w:tc>
          <w:tcPr>
            <w:tcW w:w="1450" w:type="dxa"/>
            <w:shd w:val="clear" w:color="auto" w:fill="FFFFFF"/>
            <w:noWrap w:val="0"/>
            <w:vAlign w:val="center"/>
          </w:tcPr>
          <w:p>
            <w:pPr>
              <w:widowControl/>
              <w:jc w:val="center"/>
              <w:rPr>
                <w:rFonts w:ascii="黑体" w:hAnsi="黑体" w:eastAsia="黑体"/>
                <w:color w:val="000000"/>
                <w:kern w:val="0"/>
                <w:szCs w:val="21"/>
              </w:rPr>
            </w:pPr>
            <w:r>
              <w:rPr>
                <w:rFonts w:hint="eastAsia" w:ascii="黑体" w:hAnsi="黑体" w:eastAsia="黑体"/>
                <w:color w:val="000000"/>
                <w:kern w:val="0"/>
                <w:szCs w:val="21"/>
              </w:rPr>
              <w:t>二级指标</w:t>
            </w:r>
          </w:p>
        </w:tc>
        <w:tc>
          <w:tcPr>
            <w:tcW w:w="5387" w:type="dxa"/>
            <w:shd w:val="clear" w:color="auto" w:fill="FFFFFF"/>
            <w:noWrap w:val="0"/>
            <w:vAlign w:val="center"/>
          </w:tcPr>
          <w:p>
            <w:pPr>
              <w:widowControl/>
              <w:jc w:val="center"/>
              <w:rPr>
                <w:rFonts w:ascii="黑体" w:hAnsi="黑体" w:eastAsia="黑体"/>
                <w:color w:val="000000"/>
                <w:kern w:val="0"/>
                <w:szCs w:val="21"/>
              </w:rPr>
            </w:pPr>
            <w:r>
              <w:rPr>
                <w:rFonts w:hint="eastAsia" w:ascii="黑体" w:hAnsi="黑体" w:eastAsia="黑体"/>
                <w:color w:val="000000"/>
                <w:kern w:val="0"/>
                <w:szCs w:val="21"/>
              </w:rPr>
              <w:t>评分标准</w:t>
            </w:r>
          </w:p>
        </w:tc>
        <w:tc>
          <w:tcPr>
            <w:tcW w:w="6581" w:type="dxa"/>
            <w:shd w:val="clear" w:color="auto" w:fill="FFFFFF"/>
            <w:noWrap w:val="0"/>
            <w:vAlign w:val="center"/>
          </w:tcPr>
          <w:p>
            <w:pPr>
              <w:widowControl/>
              <w:jc w:val="center"/>
              <w:rPr>
                <w:rFonts w:ascii="黑体" w:hAnsi="黑体" w:eastAsia="黑体"/>
                <w:color w:val="000000"/>
                <w:kern w:val="0"/>
                <w:szCs w:val="21"/>
              </w:rPr>
            </w:pPr>
            <w:r>
              <w:rPr>
                <w:rFonts w:hint="eastAsia" w:ascii="黑体" w:hAnsi="黑体" w:eastAsia="黑体"/>
                <w:color w:val="000000"/>
                <w:kern w:val="0"/>
                <w:szCs w:val="21"/>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29" w:hRule="atLeast"/>
        </w:trPr>
        <w:tc>
          <w:tcPr>
            <w:tcW w:w="1339" w:type="dxa"/>
            <w:vMerge w:val="restart"/>
            <w:shd w:val="clear" w:color="auto" w:fill="FFFFFF"/>
            <w:noWrap w:val="0"/>
            <w:vAlign w:val="center"/>
          </w:tcPr>
          <w:p>
            <w:pPr>
              <w:jc w:val="center"/>
              <w:rPr>
                <w:rFonts w:hint="eastAsia" w:ascii="宋体" w:hAnsi="宋体" w:eastAsia="宋体"/>
                <w:b/>
                <w:color w:val="000000"/>
                <w:kern w:val="0"/>
                <w:sz w:val="18"/>
                <w:szCs w:val="18"/>
                <w:lang w:eastAsia="zh-CN"/>
              </w:rPr>
            </w:pPr>
            <w:r>
              <w:rPr>
                <w:rFonts w:hint="eastAsia" w:ascii="宋体" w:hAnsi="宋体"/>
                <w:b/>
                <w:color w:val="000000"/>
                <w:kern w:val="0"/>
                <w:sz w:val="18"/>
                <w:szCs w:val="18"/>
              </w:rPr>
              <w:t>经济效益</w:t>
            </w:r>
            <w:r>
              <w:rPr>
                <w:rFonts w:hint="eastAsia" w:ascii="宋体" w:hAnsi="宋体"/>
                <w:b/>
                <w:color w:val="000000"/>
                <w:kern w:val="0"/>
                <w:sz w:val="18"/>
                <w:szCs w:val="18"/>
                <w:lang w:eastAsia="zh-CN"/>
              </w:rPr>
              <w:t>良好</w:t>
            </w:r>
          </w:p>
          <w:p>
            <w:pPr>
              <w:jc w:val="center"/>
              <w:rPr>
                <w:rFonts w:ascii="宋体" w:hAnsi="宋体"/>
                <w:b/>
                <w:color w:val="000000"/>
                <w:kern w:val="0"/>
                <w:sz w:val="18"/>
                <w:szCs w:val="18"/>
              </w:rPr>
            </w:pPr>
            <w:r>
              <w:rPr>
                <w:rFonts w:hint="eastAsia" w:ascii="宋体" w:hAnsi="宋体"/>
                <w:b/>
                <w:color w:val="000000"/>
                <w:kern w:val="0"/>
                <w:sz w:val="18"/>
                <w:szCs w:val="18"/>
              </w:rPr>
              <w:t>（12分）</w:t>
            </w:r>
          </w:p>
        </w:tc>
        <w:tc>
          <w:tcPr>
            <w:tcW w:w="1450" w:type="dxa"/>
            <w:shd w:val="clear" w:color="auto" w:fill="FFFFFF"/>
            <w:noWrap w:val="0"/>
            <w:vAlign w:val="center"/>
          </w:tcPr>
          <w:p>
            <w:pPr>
              <w:jc w:val="center"/>
              <w:rPr>
                <w:rFonts w:hint="default" w:ascii="宋体" w:hAnsi="宋体" w:eastAsia="宋体"/>
                <w:b/>
                <w:color w:val="000000"/>
                <w:kern w:val="0"/>
                <w:sz w:val="18"/>
                <w:szCs w:val="18"/>
                <w:lang w:val="en-US" w:eastAsia="zh-Hans"/>
              </w:rPr>
            </w:pPr>
            <w:r>
              <w:rPr>
                <w:rFonts w:hint="eastAsia" w:ascii="宋体" w:hAnsi="宋体"/>
                <w:b/>
                <w:color w:val="000000"/>
                <w:kern w:val="0"/>
                <w:sz w:val="18"/>
                <w:szCs w:val="18"/>
                <w:lang w:eastAsia="zh-CN"/>
              </w:rPr>
              <w:t>主营业务</w:t>
            </w:r>
            <w:r>
              <w:rPr>
                <w:rFonts w:hint="eastAsia" w:ascii="宋体" w:hAnsi="宋体"/>
                <w:b/>
                <w:color w:val="000000"/>
                <w:kern w:val="0"/>
                <w:sz w:val="18"/>
                <w:szCs w:val="18"/>
                <w:lang w:val="en-US" w:eastAsia="zh-Hans"/>
              </w:rPr>
              <w:t>连续</w:t>
            </w:r>
          </w:p>
        </w:tc>
        <w:tc>
          <w:tcPr>
            <w:tcW w:w="5387" w:type="dxa"/>
            <w:shd w:val="clear" w:color="auto" w:fill="FFFFFF"/>
            <w:noWrap w:val="0"/>
            <w:vAlign w:val="center"/>
          </w:tcPr>
          <w:p>
            <w:pPr>
              <w:widowControl/>
              <w:rPr>
                <w:rFonts w:ascii="宋体" w:hAnsi="宋体"/>
                <w:color w:val="000000"/>
                <w:kern w:val="0"/>
                <w:sz w:val="18"/>
                <w:szCs w:val="18"/>
              </w:rPr>
            </w:pPr>
            <w:r>
              <w:rPr>
                <w:rFonts w:hint="eastAsia" w:ascii="宋体" w:hAnsi="宋体"/>
                <w:color w:val="000000"/>
                <w:kern w:val="0"/>
                <w:sz w:val="18"/>
                <w:szCs w:val="18"/>
              </w:rPr>
              <w:t>主营业务连续经营3</w:t>
            </w:r>
            <w:r>
              <w:rPr>
                <w:rFonts w:ascii="宋体" w:hAnsi="宋体"/>
                <w:color w:val="000000"/>
                <w:kern w:val="0"/>
                <w:sz w:val="18"/>
                <w:szCs w:val="18"/>
              </w:rPr>
              <w:t>0</w:t>
            </w:r>
            <w:r>
              <w:rPr>
                <w:rFonts w:hint="eastAsia" w:ascii="宋体" w:hAnsi="宋体"/>
                <w:color w:val="000000"/>
                <w:kern w:val="0"/>
                <w:sz w:val="18"/>
                <w:szCs w:val="18"/>
              </w:rPr>
              <w:t>年（含）以上。（3分）</w:t>
            </w:r>
          </w:p>
        </w:tc>
        <w:tc>
          <w:tcPr>
            <w:tcW w:w="6581" w:type="dxa"/>
            <w:shd w:val="clear" w:color="auto" w:fill="FFFFFF"/>
            <w:noWrap w:val="0"/>
            <w:vAlign w:val="center"/>
          </w:tcPr>
          <w:p>
            <w:pPr>
              <w:widowControl/>
              <w:rPr>
                <w:rFonts w:ascii="宋体" w:hAnsi="宋体"/>
                <w:color w:val="000000"/>
                <w:kern w:val="0"/>
                <w:sz w:val="18"/>
                <w:szCs w:val="18"/>
              </w:rPr>
            </w:pPr>
            <w:r>
              <w:rPr>
                <w:rFonts w:hint="eastAsia" w:ascii="宋体" w:hAnsi="宋体"/>
                <w:color w:val="000000"/>
                <w:kern w:val="0"/>
                <w:sz w:val="18"/>
                <w:szCs w:val="18"/>
              </w:rPr>
              <w:t>主营业务连续经营时间为</w:t>
            </w:r>
            <w:r>
              <w:rPr>
                <w:rFonts w:ascii="宋体" w:hAnsi="宋体"/>
                <w:color w:val="000000"/>
                <w:kern w:val="0"/>
                <w:sz w:val="18"/>
                <w:szCs w:val="18"/>
              </w:rPr>
              <w:t>30</w:t>
            </w:r>
            <w:r>
              <w:rPr>
                <w:rFonts w:hint="eastAsia" w:ascii="宋体" w:hAnsi="宋体"/>
                <w:color w:val="000000"/>
                <w:kern w:val="0"/>
                <w:sz w:val="18"/>
                <w:szCs w:val="18"/>
              </w:rPr>
              <w:t>-4</w:t>
            </w:r>
            <w:r>
              <w:rPr>
                <w:rFonts w:ascii="宋体" w:hAnsi="宋体"/>
                <w:color w:val="000000"/>
                <w:kern w:val="0"/>
                <w:sz w:val="18"/>
                <w:szCs w:val="18"/>
              </w:rPr>
              <w:t>0</w:t>
            </w:r>
            <w:r>
              <w:rPr>
                <w:rFonts w:hint="eastAsia" w:ascii="宋体" w:hAnsi="宋体"/>
                <w:color w:val="000000"/>
                <w:kern w:val="0"/>
                <w:sz w:val="18"/>
                <w:szCs w:val="18"/>
              </w:rPr>
              <w:t>年（含）（1分）；主营业务连续经营时间为4</w:t>
            </w:r>
            <w:r>
              <w:rPr>
                <w:rFonts w:ascii="宋体" w:hAnsi="宋体"/>
                <w:color w:val="000000"/>
                <w:kern w:val="0"/>
                <w:sz w:val="18"/>
                <w:szCs w:val="18"/>
              </w:rPr>
              <w:t>0</w:t>
            </w:r>
            <w:r>
              <w:rPr>
                <w:rFonts w:hint="eastAsia" w:ascii="宋体" w:hAnsi="宋体"/>
                <w:color w:val="000000"/>
                <w:kern w:val="0"/>
                <w:sz w:val="18"/>
                <w:szCs w:val="18"/>
              </w:rPr>
              <w:t>-5</w:t>
            </w:r>
            <w:r>
              <w:rPr>
                <w:rFonts w:ascii="宋体" w:hAnsi="宋体"/>
                <w:color w:val="000000"/>
                <w:kern w:val="0"/>
                <w:sz w:val="18"/>
                <w:szCs w:val="18"/>
              </w:rPr>
              <w:t>0</w:t>
            </w:r>
            <w:r>
              <w:rPr>
                <w:rFonts w:hint="eastAsia" w:ascii="宋体" w:hAnsi="宋体"/>
                <w:color w:val="000000"/>
                <w:kern w:val="0"/>
                <w:sz w:val="18"/>
                <w:szCs w:val="18"/>
              </w:rPr>
              <w:t>年（含）（2分）；主营业务连续经营时间为50年以上（3分）。不重复得分。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40" w:hRule="atLeast"/>
        </w:trPr>
        <w:tc>
          <w:tcPr>
            <w:tcW w:w="1339" w:type="dxa"/>
            <w:vMerge w:val="continue"/>
            <w:shd w:val="clear" w:color="auto" w:fill="FFFFFF"/>
            <w:noWrap w:val="0"/>
            <w:vAlign w:val="top"/>
          </w:tcPr>
          <w:p>
            <w:pPr>
              <w:widowControl/>
              <w:jc w:val="center"/>
              <w:rPr>
                <w:rFonts w:ascii="宋体" w:hAnsi="宋体"/>
                <w:b/>
                <w:color w:val="000000"/>
                <w:kern w:val="0"/>
                <w:sz w:val="18"/>
                <w:szCs w:val="18"/>
              </w:rPr>
            </w:pPr>
          </w:p>
        </w:tc>
        <w:tc>
          <w:tcPr>
            <w:tcW w:w="1450" w:type="dxa"/>
            <w:shd w:val="clear" w:color="auto" w:fill="FFFFFF"/>
            <w:noWrap w:val="0"/>
            <w:vAlign w:val="center"/>
          </w:tcPr>
          <w:p>
            <w:pPr>
              <w:widowControl/>
              <w:jc w:val="center"/>
              <w:rPr>
                <w:rFonts w:hint="eastAsia" w:ascii="宋体" w:hAnsi="宋体" w:eastAsia="宋体"/>
                <w:b/>
                <w:color w:val="000000"/>
                <w:kern w:val="0"/>
                <w:sz w:val="18"/>
                <w:szCs w:val="18"/>
                <w:lang w:val="en-US" w:eastAsia="zh-Hans"/>
              </w:rPr>
            </w:pPr>
            <w:r>
              <w:rPr>
                <w:rFonts w:hint="eastAsia" w:ascii="宋体" w:hAnsi="宋体"/>
                <w:b/>
                <w:color w:val="000000"/>
                <w:kern w:val="0"/>
                <w:sz w:val="18"/>
                <w:szCs w:val="18"/>
              </w:rPr>
              <w:t>盈利能力</w:t>
            </w:r>
            <w:r>
              <w:rPr>
                <w:rFonts w:hint="eastAsia" w:ascii="宋体" w:hAnsi="宋体"/>
                <w:b/>
                <w:color w:val="000000"/>
                <w:kern w:val="0"/>
                <w:sz w:val="18"/>
                <w:szCs w:val="18"/>
                <w:lang w:val="en-US" w:eastAsia="zh-Hans"/>
              </w:rPr>
              <w:t>良好</w:t>
            </w:r>
          </w:p>
        </w:tc>
        <w:tc>
          <w:tcPr>
            <w:tcW w:w="5387" w:type="dxa"/>
            <w:shd w:val="clear" w:color="auto" w:fill="FFFFFF"/>
            <w:noWrap w:val="0"/>
            <w:vAlign w:val="center"/>
          </w:tcPr>
          <w:p>
            <w:pPr>
              <w:widowControl/>
              <w:rPr>
                <w:rFonts w:ascii="宋体" w:hAnsi="宋体"/>
                <w:color w:val="000000"/>
                <w:kern w:val="0"/>
                <w:sz w:val="18"/>
                <w:szCs w:val="18"/>
              </w:rPr>
            </w:pPr>
            <w:r>
              <w:rPr>
                <w:rFonts w:hint="eastAsia" w:ascii="宋体" w:hAnsi="宋体"/>
                <w:color w:val="000000"/>
                <w:kern w:val="0"/>
                <w:sz w:val="18"/>
                <w:szCs w:val="18"/>
              </w:rPr>
              <w:t>经营状况良好，可持续发展能力强。（3分）</w:t>
            </w:r>
          </w:p>
        </w:tc>
        <w:tc>
          <w:tcPr>
            <w:tcW w:w="6581" w:type="dxa"/>
            <w:shd w:val="clear" w:color="auto" w:fill="FFFFFF"/>
            <w:noWrap w:val="0"/>
            <w:vAlign w:val="center"/>
          </w:tcPr>
          <w:p>
            <w:pPr>
              <w:widowControl/>
              <w:rPr>
                <w:rFonts w:ascii="宋体" w:hAnsi="宋体"/>
                <w:color w:val="000000"/>
                <w:kern w:val="0"/>
                <w:sz w:val="18"/>
                <w:szCs w:val="18"/>
              </w:rPr>
            </w:pPr>
            <w:r>
              <w:rPr>
                <w:rFonts w:hint="eastAsia" w:ascii="宋体" w:hAnsi="宋体"/>
                <w:color w:val="000000"/>
                <w:kern w:val="0"/>
                <w:sz w:val="18"/>
                <w:szCs w:val="18"/>
              </w:rPr>
              <w:t>企业处于盈利状态（1分）；持续盈利2年（含）以上（2分）；持续盈利3年（含）以上（3分）。不重复得分。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40" w:hRule="atLeast"/>
        </w:trPr>
        <w:tc>
          <w:tcPr>
            <w:tcW w:w="1339" w:type="dxa"/>
            <w:vMerge w:val="continue"/>
            <w:shd w:val="clear" w:color="auto" w:fill="FFFFFF"/>
            <w:noWrap w:val="0"/>
            <w:vAlign w:val="top"/>
          </w:tcPr>
          <w:p>
            <w:pPr>
              <w:widowControl/>
              <w:jc w:val="center"/>
              <w:rPr>
                <w:rFonts w:ascii="宋体" w:hAnsi="宋体"/>
                <w:b/>
                <w:color w:val="000000"/>
                <w:kern w:val="0"/>
                <w:sz w:val="18"/>
                <w:szCs w:val="18"/>
              </w:rPr>
            </w:pPr>
          </w:p>
        </w:tc>
        <w:tc>
          <w:tcPr>
            <w:tcW w:w="1450" w:type="dxa"/>
            <w:shd w:val="clear" w:color="auto" w:fill="FFFFFF"/>
            <w:noWrap w:val="0"/>
            <w:vAlign w:val="center"/>
          </w:tcPr>
          <w:p>
            <w:pPr>
              <w:widowControl/>
              <w:jc w:val="center"/>
              <w:rPr>
                <w:rFonts w:hint="eastAsia" w:ascii="宋体" w:hAnsi="宋体" w:eastAsia="宋体" w:cs="黑体"/>
                <w:b/>
                <w:color w:val="000000"/>
                <w:kern w:val="0"/>
                <w:sz w:val="18"/>
                <w:szCs w:val="18"/>
                <w:lang w:val="en-US" w:eastAsia="zh-Hans"/>
              </w:rPr>
            </w:pPr>
            <w:r>
              <w:rPr>
                <w:rFonts w:hint="eastAsia" w:ascii="宋体" w:hAnsi="宋体"/>
                <w:b/>
                <w:color w:val="000000"/>
                <w:kern w:val="0"/>
                <w:sz w:val="18"/>
                <w:szCs w:val="18"/>
              </w:rPr>
              <w:t>市场</w:t>
            </w:r>
            <w:r>
              <w:rPr>
                <w:rFonts w:hint="eastAsia" w:ascii="宋体" w:hAnsi="宋体"/>
                <w:b/>
                <w:color w:val="000000"/>
                <w:kern w:val="0"/>
                <w:sz w:val="18"/>
                <w:szCs w:val="18"/>
                <w:lang w:eastAsia="zh-CN"/>
              </w:rPr>
              <w:t>覆盖</w:t>
            </w:r>
            <w:r>
              <w:rPr>
                <w:rFonts w:hint="eastAsia" w:ascii="宋体" w:hAnsi="宋体"/>
                <w:b/>
                <w:color w:val="000000"/>
                <w:kern w:val="0"/>
                <w:sz w:val="18"/>
                <w:szCs w:val="18"/>
                <w:lang w:val="en-US" w:eastAsia="zh-Hans"/>
              </w:rPr>
              <w:t>广泛</w:t>
            </w:r>
          </w:p>
        </w:tc>
        <w:tc>
          <w:tcPr>
            <w:tcW w:w="5387" w:type="dxa"/>
            <w:shd w:val="clear" w:color="auto" w:fill="FFFFFF"/>
            <w:noWrap w:val="0"/>
            <w:vAlign w:val="center"/>
          </w:tcPr>
          <w:p>
            <w:pPr>
              <w:widowControl/>
              <w:rPr>
                <w:rFonts w:ascii="宋体" w:hAnsi="宋体" w:cs="黑体"/>
                <w:color w:val="000000"/>
                <w:kern w:val="0"/>
                <w:sz w:val="18"/>
                <w:szCs w:val="18"/>
              </w:rPr>
            </w:pPr>
            <w:r>
              <w:rPr>
                <w:rFonts w:hint="eastAsia" w:ascii="宋体" w:hAnsi="宋体"/>
                <w:color w:val="000000"/>
                <w:kern w:val="0"/>
                <w:sz w:val="18"/>
                <w:szCs w:val="18"/>
              </w:rPr>
              <w:t>国际化、跨区域、数字化、连锁化经营情况。（4分）</w:t>
            </w:r>
          </w:p>
        </w:tc>
        <w:tc>
          <w:tcPr>
            <w:tcW w:w="6581" w:type="dxa"/>
            <w:shd w:val="clear" w:color="auto" w:fill="FFFFFF"/>
            <w:noWrap w:val="0"/>
            <w:vAlign w:val="center"/>
          </w:tcPr>
          <w:p>
            <w:pPr>
              <w:widowControl/>
              <w:rPr>
                <w:rFonts w:ascii="宋体" w:hAnsi="宋体" w:cs="黑体"/>
                <w:color w:val="000000"/>
                <w:kern w:val="0"/>
                <w:sz w:val="18"/>
                <w:szCs w:val="18"/>
              </w:rPr>
            </w:pPr>
            <w:r>
              <w:rPr>
                <w:rFonts w:hint="eastAsia" w:ascii="宋体" w:hAnsi="宋体" w:cs="黑体"/>
                <w:color w:val="000000"/>
                <w:kern w:val="0"/>
                <w:sz w:val="18"/>
                <w:szCs w:val="18"/>
                <w:lang w:bidi="ar"/>
              </w:rPr>
              <w:t>商品或服务进入国际市场（1分）；商品或服务进入省外市场（1分）；运用电子商务方式拓展销售渠道（1分）；拥有2家以上的直营店或加盟店（1分）。</w:t>
            </w:r>
            <w:r>
              <w:rPr>
                <w:rFonts w:hint="eastAsia" w:ascii="宋体" w:hAnsi="宋体"/>
                <w:color w:val="000000"/>
                <w:kern w:val="0"/>
                <w:sz w:val="18"/>
                <w:szCs w:val="18"/>
              </w:rPr>
              <w:t>每符合一项得1分，最多得</w:t>
            </w:r>
            <w:r>
              <w:rPr>
                <w:rFonts w:ascii="宋体" w:hAnsi="宋体"/>
                <w:color w:val="000000"/>
                <w:kern w:val="0"/>
                <w:sz w:val="18"/>
                <w:szCs w:val="18"/>
              </w:rPr>
              <w:t>4</w:t>
            </w:r>
            <w:r>
              <w:rPr>
                <w:rFonts w:hint="eastAsia" w:ascii="宋体" w:hAnsi="宋体"/>
                <w:color w:val="000000"/>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40" w:hRule="atLeast"/>
        </w:trPr>
        <w:tc>
          <w:tcPr>
            <w:tcW w:w="1339" w:type="dxa"/>
            <w:vMerge w:val="continue"/>
            <w:shd w:val="clear" w:color="auto" w:fill="FFFFFF"/>
            <w:noWrap w:val="0"/>
            <w:vAlign w:val="top"/>
          </w:tcPr>
          <w:p>
            <w:pPr>
              <w:widowControl/>
              <w:jc w:val="center"/>
              <w:rPr>
                <w:rFonts w:ascii="宋体" w:hAnsi="宋体"/>
                <w:b/>
                <w:color w:val="000000"/>
                <w:kern w:val="0"/>
                <w:sz w:val="18"/>
                <w:szCs w:val="18"/>
              </w:rPr>
            </w:pPr>
          </w:p>
        </w:tc>
        <w:tc>
          <w:tcPr>
            <w:tcW w:w="1450" w:type="dxa"/>
            <w:shd w:val="clear" w:color="auto" w:fill="FFFFFF"/>
            <w:noWrap w:val="0"/>
            <w:vAlign w:val="center"/>
          </w:tcPr>
          <w:p>
            <w:pPr>
              <w:jc w:val="center"/>
              <w:rPr>
                <w:rFonts w:hint="eastAsia" w:ascii="宋体" w:hAnsi="宋体" w:eastAsia="宋体" w:cs="黑体"/>
                <w:b/>
                <w:color w:val="000000"/>
                <w:kern w:val="0"/>
                <w:sz w:val="18"/>
                <w:szCs w:val="18"/>
                <w:lang w:eastAsia="zh-CN"/>
              </w:rPr>
            </w:pPr>
            <w:r>
              <w:rPr>
                <w:rFonts w:hint="eastAsia" w:ascii="宋体" w:hAnsi="宋体"/>
                <w:b/>
                <w:color w:val="000000"/>
                <w:kern w:val="0"/>
                <w:sz w:val="18"/>
                <w:szCs w:val="18"/>
                <w:lang w:val="en-US" w:eastAsia="zh-Hans"/>
              </w:rPr>
              <w:t>企业</w:t>
            </w:r>
            <w:r>
              <w:rPr>
                <w:rFonts w:hint="eastAsia" w:ascii="宋体" w:hAnsi="宋体"/>
                <w:b/>
                <w:color w:val="000000"/>
                <w:kern w:val="0"/>
                <w:sz w:val="18"/>
                <w:szCs w:val="18"/>
              </w:rPr>
              <w:t>上市</w:t>
            </w:r>
            <w:r>
              <w:rPr>
                <w:rFonts w:hint="eastAsia" w:ascii="宋体" w:hAnsi="宋体"/>
                <w:b/>
                <w:color w:val="000000"/>
                <w:kern w:val="0"/>
                <w:sz w:val="18"/>
                <w:szCs w:val="18"/>
                <w:lang w:val="en-US" w:eastAsia="zh-CN"/>
              </w:rPr>
              <w:t>发展</w:t>
            </w:r>
          </w:p>
        </w:tc>
        <w:tc>
          <w:tcPr>
            <w:tcW w:w="5387" w:type="dxa"/>
            <w:shd w:val="clear" w:color="auto" w:fill="FFFFFF"/>
            <w:noWrap w:val="0"/>
            <w:vAlign w:val="center"/>
          </w:tcPr>
          <w:p>
            <w:pPr>
              <w:widowControl/>
              <w:rPr>
                <w:rFonts w:ascii="宋体" w:hAnsi="宋体" w:cs="黑体"/>
                <w:color w:val="000000"/>
                <w:kern w:val="0"/>
                <w:sz w:val="18"/>
                <w:szCs w:val="18"/>
              </w:rPr>
            </w:pPr>
            <w:r>
              <w:rPr>
                <w:rFonts w:hint="eastAsia" w:ascii="宋体" w:hAnsi="宋体"/>
                <w:color w:val="000000"/>
                <w:kern w:val="0"/>
                <w:sz w:val="18"/>
                <w:szCs w:val="18"/>
              </w:rPr>
              <w:t>企业是否上市。（2分）</w:t>
            </w:r>
          </w:p>
        </w:tc>
        <w:tc>
          <w:tcPr>
            <w:tcW w:w="6581" w:type="dxa"/>
            <w:shd w:val="clear" w:color="auto" w:fill="FFFFFF"/>
            <w:noWrap w:val="0"/>
            <w:vAlign w:val="center"/>
          </w:tcPr>
          <w:p>
            <w:pPr>
              <w:widowControl/>
              <w:jc w:val="left"/>
              <w:rPr>
                <w:rFonts w:ascii="宋体" w:hAnsi="宋体" w:cs="黑体"/>
                <w:color w:val="000000"/>
                <w:kern w:val="0"/>
                <w:sz w:val="18"/>
                <w:szCs w:val="18"/>
              </w:rPr>
            </w:pPr>
            <w:r>
              <w:rPr>
                <w:rFonts w:hint="eastAsia" w:ascii="宋体" w:hAnsi="宋体"/>
                <w:color w:val="000000"/>
                <w:kern w:val="0"/>
                <w:sz w:val="18"/>
                <w:szCs w:val="18"/>
              </w:rPr>
              <w:t>在境内外股票市场公开发行股票（2分）。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trPr>
        <w:tc>
          <w:tcPr>
            <w:tcW w:w="1339" w:type="dxa"/>
            <w:vMerge w:val="restart"/>
            <w:shd w:val="clear" w:color="auto" w:fill="FFFFFF"/>
            <w:noWrap w:val="0"/>
            <w:vAlign w:val="center"/>
          </w:tcPr>
          <w:p>
            <w:pPr>
              <w:jc w:val="center"/>
              <w:rPr>
                <w:rFonts w:hint="eastAsia" w:ascii="宋体" w:hAnsi="宋体" w:eastAsia="宋体"/>
                <w:b/>
                <w:color w:val="000000"/>
                <w:kern w:val="0"/>
                <w:sz w:val="18"/>
                <w:szCs w:val="18"/>
                <w:lang w:eastAsia="zh-CN"/>
              </w:rPr>
            </w:pPr>
            <w:r>
              <w:rPr>
                <w:rFonts w:hint="eastAsia" w:ascii="宋体" w:hAnsi="宋体"/>
                <w:b/>
                <w:color w:val="000000"/>
                <w:kern w:val="0"/>
                <w:sz w:val="18"/>
                <w:szCs w:val="18"/>
              </w:rPr>
              <w:t>制度建设</w:t>
            </w:r>
            <w:r>
              <w:rPr>
                <w:rFonts w:hint="eastAsia" w:ascii="宋体" w:hAnsi="宋体"/>
                <w:b/>
                <w:color w:val="000000"/>
                <w:kern w:val="0"/>
                <w:sz w:val="18"/>
                <w:szCs w:val="18"/>
                <w:lang w:eastAsia="zh-CN"/>
              </w:rPr>
              <w:t>完善</w:t>
            </w:r>
          </w:p>
          <w:p>
            <w:pPr>
              <w:jc w:val="center"/>
              <w:rPr>
                <w:rFonts w:ascii="宋体" w:hAnsi="宋体"/>
                <w:b/>
                <w:color w:val="000000"/>
                <w:kern w:val="0"/>
                <w:sz w:val="18"/>
                <w:szCs w:val="18"/>
              </w:rPr>
            </w:pPr>
            <w:r>
              <w:rPr>
                <w:rFonts w:hint="eastAsia" w:ascii="宋体" w:hAnsi="宋体"/>
                <w:b/>
                <w:color w:val="000000"/>
                <w:kern w:val="0"/>
                <w:sz w:val="18"/>
                <w:szCs w:val="18"/>
              </w:rPr>
              <w:t>（10分）</w:t>
            </w:r>
          </w:p>
        </w:tc>
        <w:tc>
          <w:tcPr>
            <w:tcW w:w="1450" w:type="dxa"/>
            <w:shd w:val="clear" w:color="auto" w:fill="FFFFFF"/>
            <w:noWrap w:val="0"/>
            <w:vAlign w:val="center"/>
          </w:tcPr>
          <w:p>
            <w:pPr>
              <w:widowControl/>
              <w:jc w:val="center"/>
              <w:rPr>
                <w:rFonts w:hint="eastAsia" w:ascii="宋体" w:hAnsi="宋体" w:eastAsia="宋体"/>
                <w:b/>
                <w:color w:val="000000"/>
                <w:kern w:val="0"/>
                <w:sz w:val="18"/>
                <w:szCs w:val="18"/>
                <w:lang w:val="en-US" w:eastAsia="zh-Hans"/>
              </w:rPr>
            </w:pPr>
            <w:r>
              <w:rPr>
                <w:rFonts w:hint="eastAsia" w:ascii="宋体" w:hAnsi="宋体"/>
                <w:b/>
                <w:color w:val="000000"/>
                <w:kern w:val="0"/>
                <w:sz w:val="18"/>
                <w:szCs w:val="18"/>
              </w:rPr>
              <w:t>管理制度</w:t>
            </w:r>
            <w:r>
              <w:rPr>
                <w:rFonts w:hint="eastAsia" w:ascii="宋体" w:hAnsi="宋体"/>
                <w:b/>
                <w:color w:val="000000"/>
                <w:kern w:val="0"/>
                <w:sz w:val="18"/>
                <w:szCs w:val="18"/>
                <w:lang w:val="en-US" w:eastAsia="zh-Hans"/>
              </w:rPr>
              <w:t>健全</w:t>
            </w:r>
          </w:p>
        </w:tc>
        <w:tc>
          <w:tcPr>
            <w:tcW w:w="5387" w:type="dxa"/>
            <w:shd w:val="clear" w:color="auto" w:fill="FFFFFF"/>
            <w:noWrap w:val="0"/>
            <w:vAlign w:val="center"/>
          </w:tcPr>
          <w:p>
            <w:pPr>
              <w:rPr>
                <w:rFonts w:ascii="宋体" w:hAnsi="宋体"/>
                <w:color w:val="000000"/>
                <w:kern w:val="0"/>
                <w:sz w:val="18"/>
                <w:szCs w:val="18"/>
              </w:rPr>
            </w:pPr>
            <w:r>
              <w:rPr>
                <w:rFonts w:hint="eastAsia" w:ascii="宋体" w:hAnsi="宋体"/>
                <w:color w:val="000000"/>
                <w:kern w:val="0"/>
                <w:sz w:val="18"/>
                <w:szCs w:val="18"/>
              </w:rPr>
              <w:t>有完善的管理制度，包括突发事件应急处置机制及食品安全、环境卫生、知识产权、消费者权益、市场公平竞争、人才培训等。（5分）</w:t>
            </w:r>
          </w:p>
        </w:tc>
        <w:tc>
          <w:tcPr>
            <w:tcW w:w="6581" w:type="dxa"/>
            <w:shd w:val="clear" w:color="auto" w:fill="FFFFFF"/>
            <w:noWrap w:val="0"/>
            <w:vAlign w:val="center"/>
          </w:tcPr>
          <w:p>
            <w:pPr>
              <w:rPr>
                <w:rFonts w:ascii="宋体" w:hAnsi="宋体"/>
                <w:color w:val="000000"/>
                <w:kern w:val="0"/>
                <w:sz w:val="18"/>
                <w:szCs w:val="18"/>
              </w:rPr>
            </w:pPr>
            <w:r>
              <w:rPr>
                <w:rFonts w:hint="eastAsia" w:ascii="宋体" w:hAnsi="宋体"/>
                <w:color w:val="000000"/>
                <w:kern w:val="0"/>
                <w:sz w:val="18"/>
                <w:szCs w:val="18"/>
              </w:rPr>
              <w:t>有完善的管理制度，包括突发事件应急处置机制、食品安全、环境卫生、知识产权、消费者权益、其他制度。每拥有一种管理制度得1分，最多得5分。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94" w:hRule="atLeast"/>
        </w:trPr>
        <w:tc>
          <w:tcPr>
            <w:tcW w:w="1339" w:type="dxa"/>
            <w:vMerge w:val="continue"/>
            <w:shd w:val="clear" w:color="auto" w:fill="FFFFFF"/>
            <w:noWrap w:val="0"/>
            <w:vAlign w:val="center"/>
          </w:tcPr>
          <w:p>
            <w:pPr>
              <w:widowControl/>
              <w:jc w:val="center"/>
              <w:rPr>
                <w:rFonts w:ascii="宋体" w:hAnsi="宋体"/>
                <w:b/>
                <w:color w:val="000000"/>
                <w:kern w:val="0"/>
                <w:sz w:val="18"/>
                <w:szCs w:val="18"/>
              </w:rPr>
            </w:pPr>
          </w:p>
        </w:tc>
        <w:tc>
          <w:tcPr>
            <w:tcW w:w="1450" w:type="dxa"/>
            <w:shd w:val="clear" w:color="auto" w:fill="FFFFFF"/>
            <w:noWrap w:val="0"/>
            <w:vAlign w:val="center"/>
          </w:tcPr>
          <w:p>
            <w:pPr>
              <w:widowControl/>
              <w:jc w:val="center"/>
              <w:rPr>
                <w:rFonts w:hint="eastAsia" w:ascii="宋体" w:hAnsi="宋体" w:eastAsia="宋体"/>
                <w:b/>
                <w:color w:val="000000"/>
                <w:kern w:val="0"/>
                <w:sz w:val="18"/>
                <w:szCs w:val="18"/>
                <w:lang w:val="en-US" w:eastAsia="zh-Hans"/>
              </w:rPr>
            </w:pPr>
            <w:r>
              <w:rPr>
                <w:rFonts w:hint="eastAsia" w:ascii="宋体" w:hAnsi="宋体"/>
                <w:b/>
                <w:color w:val="000000"/>
                <w:kern w:val="0"/>
                <w:sz w:val="18"/>
                <w:szCs w:val="18"/>
              </w:rPr>
              <w:t>体制改革</w:t>
            </w:r>
            <w:r>
              <w:rPr>
                <w:rFonts w:hint="eastAsia" w:ascii="宋体" w:hAnsi="宋体"/>
                <w:b/>
                <w:color w:val="000000"/>
                <w:kern w:val="0"/>
                <w:sz w:val="18"/>
                <w:szCs w:val="18"/>
                <w:lang w:val="en-US" w:eastAsia="zh-Hans"/>
              </w:rPr>
              <w:t>完善</w:t>
            </w:r>
          </w:p>
        </w:tc>
        <w:tc>
          <w:tcPr>
            <w:tcW w:w="5387" w:type="dxa"/>
            <w:shd w:val="clear" w:color="auto" w:fill="FFFFFF"/>
            <w:noWrap w:val="0"/>
            <w:vAlign w:val="center"/>
          </w:tcPr>
          <w:p>
            <w:pPr>
              <w:widowControl/>
              <w:rPr>
                <w:rFonts w:ascii="宋体" w:hAnsi="宋体"/>
                <w:color w:val="000000"/>
                <w:kern w:val="0"/>
                <w:sz w:val="18"/>
                <w:szCs w:val="18"/>
              </w:rPr>
            </w:pPr>
            <w:r>
              <w:rPr>
                <w:rFonts w:hint="eastAsia" w:ascii="宋体" w:hAnsi="宋体"/>
                <w:color w:val="000000"/>
                <w:kern w:val="0"/>
                <w:sz w:val="18"/>
                <w:szCs w:val="18"/>
              </w:rPr>
              <w:t>从人事、用工、分配制度着手深化企业改革，明晰产权，开展兼并重组，推进混合所有制改革，构建现代企业治理体系，拓展延长产业链，集团化、产业化发展。（5分）</w:t>
            </w:r>
          </w:p>
        </w:tc>
        <w:tc>
          <w:tcPr>
            <w:tcW w:w="6581" w:type="dxa"/>
            <w:shd w:val="clear" w:color="auto" w:fill="FFFFFF"/>
            <w:noWrap w:val="0"/>
            <w:vAlign w:val="center"/>
          </w:tcPr>
          <w:p>
            <w:pPr>
              <w:widowControl/>
              <w:rPr>
                <w:rFonts w:ascii="宋体" w:hAnsi="宋体"/>
                <w:color w:val="000000"/>
                <w:kern w:val="0"/>
                <w:sz w:val="18"/>
                <w:szCs w:val="18"/>
              </w:rPr>
            </w:pPr>
            <w:r>
              <w:rPr>
                <w:rFonts w:hint="eastAsia" w:ascii="宋体" w:hAnsi="宋体"/>
                <w:color w:val="000000"/>
                <w:kern w:val="0"/>
                <w:sz w:val="18"/>
                <w:szCs w:val="18"/>
              </w:rPr>
              <w:t>采取人事制度、用工制度、分配制度改革措施（1分）；明晰产权，开展兼并重组，推进混合所有制改革（1分）；构建现代企业治理体系（1分）；拓展延长产业链，集团化、产业化发展（2分）。每符合一项得1分，最多得</w:t>
            </w:r>
            <w:r>
              <w:rPr>
                <w:rFonts w:ascii="宋体" w:hAnsi="宋体"/>
                <w:color w:val="000000"/>
                <w:kern w:val="0"/>
                <w:sz w:val="18"/>
                <w:szCs w:val="18"/>
              </w:rPr>
              <w:t>5</w:t>
            </w:r>
            <w:r>
              <w:rPr>
                <w:rFonts w:hint="eastAsia" w:ascii="宋体" w:hAnsi="宋体"/>
                <w:color w:val="000000"/>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14757" w:type="dxa"/>
            <w:gridSpan w:val="4"/>
            <w:tcBorders>
              <w:bottom w:val="single" w:color="auto" w:sz="4" w:space="0"/>
            </w:tcBorders>
            <w:shd w:val="clear" w:color="auto" w:fill="FFFFFF"/>
            <w:noWrap w:val="0"/>
            <w:vAlign w:val="center"/>
          </w:tcPr>
          <w:p>
            <w:pPr>
              <w:widowControl/>
              <w:jc w:val="left"/>
              <w:rPr>
                <w:rFonts w:ascii="宋体" w:hAnsi="宋体"/>
                <w:color w:val="000000"/>
                <w:kern w:val="0"/>
                <w:sz w:val="18"/>
                <w:szCs w:val="18"/>
              </w:rPr>
            </w:pPr>
            <w:r>
              <w:rPr>
                <w:rFonts w:hint="eastAsia" w:ascii="黑体" w:hAnsi="黑体" w:eastAsia="黑体"/>
                <w:b/>
                <w:color w:val="000000"/>
                <w:sz w:val="24"/>
              </w:rPr>
              <w:t>三、创新发展</w:t>
            </w:r>
            <w:r>
              <w:rPr>
                <w:rFonts w:hint="eastAsia" w:ascii="黑体" w:hAnsi="黑体" w:eastAsia="黑体"/>
                <w:b/>
                <w:color w:val="000000"/>
                <w:sz w:val="24"/>
                <w:lang w:eastAsia="zh-CN"/>
              </w:rPr>
              <w:t>能力突出</w:t>
            </w:r>
            <w:r>
              <w:rPr>
                <w:rFonts w:hint="eastAsia" w:ascii="黑体" w:hAnsi="黑体" w:eastAsia="黑体"/>
                <w:b/>
                <w:color w:val="000000"/>
                <w:sz w:val="24"/>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7" w:hRule="atLeast"/>
        </w:trPr>
        <w:tc>
          <w:tcPr>
            <w:tcW w:w="1339" w:type="dxa"/>
            <w:shd w:val="clear" w:color="auto" w:fill="FFFFFF"/>
            <w:noWrap w:val="0"/>
            <w:vAlign w:val="center"/>
          </w:tcPr>
          <w:p>
            <w:pPr>
              <w:widowControl/>
              <w:jc w:val="center"/>
              <w:rPr>
                <w:rFonts w:ascii="黑体" w:hAnsi="黑体" w:eastAsia="黑体"/>
                <w:color w:val="000000"/>
                <w:kern w:val="0"/>
                <w:szCs w:val="21"/>
              </w:rPr>
            </w:pPr>
            <w:r>
              <w:rPr>
                <w:rFonts w:hint="eastAsia" w:ascii="黑体" w:hAnsi="黑体" w:eastAsia="黑体"/>
                <w:color w:val="000000"/>
                <w:kern w:val="0"/>
                <w:szCs w:val="21"/>
              </w:rPr>
              <w:t>一级指标</w:t>
            </w:r>
          </w:p>
        </w:tc>
        <w:tc>
          <w:tcPr>
            <w:tcW w:w="1450" w:type="dxa"/>
            <w:shd w:val="clear" w:color="auto" w:fill="FFFFFF"/>
            <w:noWrap w:val="0"/>
            <w:vAlign w:val="center"/>
          </w:tcPr>
          <w:p>
            <w:pPr>
              <w:widowControl/>
              <w:jc w:val="center"/>
              <w:rPr>
                <w:rFonts w:ascii="宋体" w:hAnsi="宋体"/>
                <w:color w:val="000000"/>
                <w:kern w:val="0"/>
                <w:sz w:val="18"/>
                <w:szCs w:val="18"/>
              </w:rPr>
            </w:pPr>
            <w:r>
              <w:rPr>
                <w:rFonts w:hint="eastAsia" w:ascii="黑体" w:hAnsi="黑体" w:eastAsia="黑体"/>
                <w:color w:val="000000"/>
                <w:kern w:val="0"/>
                <w:szCs w:val="21"/>
              </w:rPr>
              <w:t>二级指标</w:t>
            </w:r>
          </w:p>
        </w:tc>
        <w:tc>
          <w:tcPr>
            <w:tcW w:w="5387" w:type="dxa"/>
            <w:shd w:val="clear" w:color="auto" w:fill="FFFFFF"/>
            <w:noWrap w:val="0"/>
            <w:vAlign w:val="center"/>
          </w:tcPr>
          <w:p>
            <w:pPr>
              <w:jc w:val="center"/>
              <w:rPr>
                <w:rFonts w:ascii="宋体" w:hAnsi="宋体"/>
                <w:color w:val="000000"/>
                <w:kern w:val="0"/>
                <w:sz w:val="18"/>
                <w:szCs w:val="18"/>
              </w:rPr>
            </w:pPr>
            <w:r>
              <w:rPr>
                <w:rFonts w:hint="eastAsia" w:ascii="黑体" w:hAnsi="黑体" w:eastAsia="黑体"/>
                <w:color w:val="000000"/>
                <w:kern w:val="0"/>
                <w:szCs w:val="21"/>
              </w:rPr>
              <w:t>评分标准</w:t>
            </w:r>
          </w:p>
        </w:tc>
        <w:tc>
          <w:tcPr>
            <w:tcW w:w="6581" w:type="dxa"/>
            <w:shd w:val="clear" w:color="auto" w:fill="FFFFFF"/>
            <w:noWrap w:val="0"/>
            <w:vAlign w:val="center"/>
          </w:tcPr>
          <w:p>
            <w:pPr>
              <w:jc w:val="center"/>
              <w:rPr>
                <w:rFonts w:ascii="宋体" w:hAnsi="宋体"/>
                <w:color w:val="000000"/>
                <w:kern w:val="0"/>
                <w:sz w:val="18"/>
                <w:szCs w:val="18"/>
              </w:rPr>
            </w:pPr>
            <w:r>
              <w:rPr>
                <w:rFonts w:hint="eastAsia" w:ascii="黑体" w:hAnsi="黑体" w:eastAsia="黑体"/>
                <w:color w:val="000000"/>
                <w:kern w:val="0"/>
                <w:szCs w:val="21"/>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88" w:hRule="atLeast"/>
        </w:trPr>
        <w:tc>
          <w:tcPr>
            <w:tcW w:w="1339" w:type="dxa"/>
            <w:vMerge w:val="restart"/>
            <w:shd w:val="clear" w:color="auto" w:fill="FFFFFF"/>
            <w:noWrap w:val="0"/>
            <w:vAlign w:val="center"/>
          </w:tcPr>
          <w:p>
            <w:pPr>
              <w:widowControl/>
              <w:jc w:val="center"/>
              <w:rPr>
                <w:rFonts w:hint="eastAsia" w:ascii="宋体" w:hAnsi="宋体" w:eastAsia="宋体"/>
                <w:b/>
                <w:color w:val="000000"/>
                <w:kern w:val="0"/>
                <w:sz w:val="18"/>
                <w:szCs w:val="18"/>
                <w:lang w:eastAsia="zh-CN"/>
              </w:rPr>
            </w:pPr>
            <w:r>
              <w:rPr>
                <w:rFonts w:hint="eastAsia" w:ascii="宋体" w:hAnsi="宋体"/>
                <w:b/>
                <w:color w:val="000000"/>
                <w:kern w:val="0"/>
                <w:sz w:val="18"/>
                <w:szCs w:val="18"/>
              </w:rPr>
              <w:t>产品服务</w:t>
            </w:r>
            <w:r>
              <w:rPr>
                <w:rFonts w:hint="eastAsia" w:ascii="宋体" w:hAnsi="宋体"/>
                <w:b/>
                <w:color w:val="000000"/>
                <w:kern w:val="0"/>
                <w:sz w:val="18"/>
                <w:szCs w:val="18"/>
                <w:lang w:eastAsia="zh-CN"/>
              </w:rPr>
              <w:t>优质</w:t>
            </w:r>
          </w:p>
          <w:p>
            <w:pPr>
              <w:widowControl/>
              <w:jc w:val="center"/>
              <w:rPr>
                <w:rFonts w:ascii="宋体" w:hAnsi="宋体"/>
                <w:b/>
                <w:color w:val="000000"/>
                <w:kern w:val="0"/>
                <w:sz w:val="18"/>
                <w:szCs w:val="18"/>
              </w:rPr>
            </w:pPr>
            <w:r>
              <w:rPr>
                <w:rFonts w:hint="eastAsia" w:ascii="宋体" w:hAnsi="宋体"/>
                <w:b/>
                <w:color w:val="000000"/>
                <w:kern w:val="0"/>
                <w:sz w:val="18"/>
                <w:szCs w:val="18"/>
              </w:rPr>
              <w:t>（10分）</w:t>
            </w:r>
          </w:p>
        </w:tc>
        <w:tc>
          <w:tcPr>
            <w:tcW w:w="1450" w:type="dxa"/>
            <w:shd w:val="clear" w:color="auto" w:fill="FFFFFF"/>
            <w:noWrap w:val="0"/>
            <w:vAlign w:val="center"/>
          </w:tcPr>
          <w:p>
            <w:pPr>
              <w:widowControl/>
              <w:jc w:val="center"/>
              <w:rPr>
                <w:rFonts w:hint="eastAsia" w:ascii="宋体" w:hAnsi="宋体" w:eastAsia="宋体"/>
                <w:b/>
                <w:color w:val="000000"/>
                <w:kern w:val="0"/>
                <w:sz w:val="18"/>
                <w:szCs w:val="18"/>
                <w:lang w:eastAsia="zh-CN"/>
              </w:rPr>
            </w:pPr>
            <w:r>
              <w:rPr>
                <w:rFonts w:hint="eastAsia" w:ascii="宋体" w:hAnsi="宋体"/>
                <w:b/>
                <w:color w:val="000000"/>
                <w:kern w:val="0"/>
                <w:sz w:val="18"/>
                <w:szCs w:val="18"/>
                <w:lang w:val="en-US" w:eastAsia="zh-Hans"/>
              </w:rPr>
              <w:t>服务</w:t>
            </w:r>
            <w:r>
              <w:rPr>
                <w:rFonts w:hint="eastAsia" w:ascii="宋体" w:hAnsi="宋体"/>
                <w:b/>
                <w:color w:val="000000"/>
                <w:kern w:val="0"/>
                <w:sz w:val="18"/>
                <w:szCs w:val="18"/>
              </w:rPr>
              <w:t>品质</w:t>
            </w:r>
            <w:r>
              <w:rPr>
                <w:rFonts w:hint="eastAsia" w:ascii="宋体" w:hAnsi="宋体"/>
                <w:b/>
                <w:color w:val="000000"/>
                <w:kern w:val="0"/>
                <w:sz w:val="18"/>
                <w:szCs w:val="18"/>
                <w:lang w:eastAsia="zh-CN"/>
              </w:rPr>
              <w:t>良好</w:t>
            </w:r>
          </w:p>
        </w:tc>
        <w:tc>
          <w:tcPr>
            <w:tcW w:w="5387" w:type="dxa"/>
            <w:shd w:val="clear" w:color="auto" w:fill="FFFFFF"/>
            <w:noWrap w:val="0"/>
            <w:vAlign w:val="center"/>
          </w:tcPr>
          <w:p>
            <w:pPr>
              <w:rPr>
                <w:rFonts w:ascii="宋体" w:hAnsi="宋体"/>
                <w:color w:val="000000"/>
                <w:kern w:val="0"/>
                <w:sz w:val="18"/>
                <w:szCs w:val="18"/>
              </w:rPr>
            </w:pPr>
            <w:r>
              <w:rPr>
                <w:rFonts w:hint="eastAsia" w:ascii="宋体" w:hAnsi="宋体"/>
                <w:color w:val="000000"/>
                <w:kern w:val="0"/>
                <w:sz w:val="18"/>
                <w:szCs w:val="18"/>
              </w:rPr>
              <w:t>坚守工匠精神，提升服务质量和服务水平，永葆品质魅力。（5分）</w:t>
            </w:r>
          </w:p>
        </w:tc>
        <w:tc>
          <w:tcPr>
            <w:tcW w:w="6581" w:type="dxa"/>
            <w:shd w:val="clear" w:color="auto" w:fill="FFFFFF"/>
            <w:noWrap w:val="0"/>
            <w:vAlign w:val="center"/>
          </w:tcPr>
          <w:p>
            <w:pPr>
              <w:rPr>
                <w:rFonts w:ascii="宋体" w:hAnsi="宋体"/>
                <w:color w:val="000000"/>
                <w:kern w:val="0"/>
                <w:sz w:val="18"/>
                <w:szCs w:val="18"/>
              </w:rPr>
            </w:pPr>
            <w:r>
              <w:rPr>
                <w:rFonts w:hint="eastAsia" w:ascii="宋体" w:hAnsi="宋体"/>
                <w:color w:val="000000"/>
                <w:kern w:val="0"/>
                <w:sz w:val="18"/>
                <w:szCs w:val="18"/>
              </w:rPr>
              <w:t>拥有国家级或省级非物质文化遗产代表性传承人</w:t>
            </w:r>
            <w:r>
              <w:rPr>
                <w:rFonts w:hint="eastAsia" w:ascii="宋体" w:hAnsi="宋体"/>
                <w:color w:val="000000"/>
                <w:kern w:val="0"/>
                <w:sz w:val="18"/>
                <w:szCs w:val="18"/>
                <w:lang w:eastAsia="zh-CN"/>
              </w:rPr>
              <w:t>、工艺美术大师等技艺传承人</w:t>
            </w:r>
            <w:r>
              <w:rPr>
                <w:rFonts w:hint="eastAsia" w:ascii="宋体" w:hAnsi="宋体"/>
                <w:color w:val="000000"/>
                <w:kern w:val="0"/>
                <w:sz w:val="18"/>
                <w:szCs w:val="18"/>
              </w:rPr>
              <w:t>，面向居民生活提供经济价值、文化价值较高的产品、技艺或服务，最多得5分。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39" w:hRule="atLeast"/>
        </w:trPr>
        <w:tc>
          <w:tcPr>
            <w:tcW w:w="1339" w:type="dxa"/>
            <w:vMerge w:val="continue"/>
            <w:shd w:val="clear" w:color="auto" w:fill="FFFFFF"/>
            <w:noWrap w:val="0"/>
            <w:vAlign w:val="center"/>
          </w:tcPr>
          <w:p>
            <w:pPr>
              <w:widowControl/>
              <w:jc w:val="center"/>
              <w:rPr>
                <w:rFonts w:ascii="宋体" w:hAnsi="宋体"/>
                <w:b/>
                <w:color w:val="000000"/>
                <w:kern w:val="0"/>
                <w:sz w:val="18"/>
                <w:szCs w:val="18"/>
              </w:rPr>
            </w:pPr>
          </w:p>
        </w:tc>
        <w:tc>
          <w:tcPr>
            <w:tcW w:w="1450" w:type="dxa"/>
            <w:shd w:val="clear" w:color="auto" w:fill="FFFFFF"/>
            <w:noWrap w:val="0"/>
            <w:vAlign w:val="center"/>
          </w:tcPr>
          <w:p>
            <w:pPr>
              <w:widowControl/>
              <w:jc w:val="center"/>
              <w:rPr>
                <w:rFonts w:ascii="宋体" w:hAnsi="宋体"/>
                <w:b/>
                <w:color w:val="000000"/>
                <w:kern w:val="0"/>
                <w:sz w:val="18"/>
                <w:szCs w:val="18"/>
              </w:rPr>
            </w:pPr>
            <w:r>
              <w:rPr>
                <w:rFonts w:hint="eastAsia" w:ascii="宋体" w:hAnsi="宋体"/>
                <w:b/>
                <w:color w:val="000000"/>
                <w:kern w:val="0"/>
                <w:sz w:val="18"/>
                <w:szCs w:val="18"/>
                <w:lang w:val="en-US" w:eastAsia="zh-Hans"/>
              </w:rPr>
              <w:t>产品</w:t>
            </w:r>
            <w:r>
              <w:rPr>
                <w:rFonts w:hint="eastAsia" w:ascii="宋体" w:hAnsi="宋体"/>
                <w:b/>
                <w:color w:val="000000"/>
                <w:kern w:val="0"/>
                <w:sz w:val="18"/>
                <w:szCs w:val="18"/>
              </w:rPr>
              <w:t>品类丰富</w:t>
            </w:r>
          </w:p>
        </w:tc>
        <w:tc>
          <w:tcPr>
            <w:tcW w:w="5387" w:type="dxa"/>
            <w:shd w:val="clear" w:color="auto" w:fill="FFFFFF"/>
            <w:noWrap w:val="0"/>
            <w:vAlign w:val="center"/>
          </w:tcPr>
          <w:p>
            <w:pPr>
              <w:rPr>
                <w:rFonts w:ascii="宋体" w:hAnsi="宋体"/>
                <w:color w:val="000000"/>
                <w:kern w:val="0"/>
                <w:sz w:val="18"/>
                <w:szCs w:val="18"/>
              </w:rPr>
            </w:pPr>
            <w:r>
              <w:rPr>
                <w:rFonts w:hint="eastAsia" w:ascii="宋体" w:hAnsi="宋体"/>
                <w:color w:val="000000"/>
                <w:kern w:val="0"/>
                <w:sz w:val="18"/>
                <w:szCs w:val="18"/>
              </w:rPr>
              <w:t>根据消费需求创新开发产品，提升产品创新力，丰富产品品类。（5分）</w:t>
            </w:r>
          </w:p>
        </w:tc>
        <w:tc>
          <w:tcPr>
            <w:tcW w:w="6581" w:type="dxa"/>
            <w:shd w:val="clear" w:color="auto" w:fill="FFFFFF"/>
            <w:noWrap w:val="0"/>
            <w:vAlign w:val="center"/>
          </w:tcPr>
          <w:p>
            <w:pPr>
              <w:rPr>
                <w:rFonts w:ascii="宋体" w:hAnsi="宋体"/>
                <w:color w:val="000000"/>
                <w:kern w:val="0"/>
                <w:sz w:val="18"/>
                <w:szCs w:val="18"/>
              </w:rPr>
            </w:pPr>
            <w:r>
              <w:rPr>
                <w:rFonts w:hint="eastAsia" w:ascii="宋体" w:hAnsi="宋体"/>
                <w:color w:val="000000"/>
                <w:sz w:val="18"/>
                <w:szCs w:val="18"/>
              </w:rPr>
              <w:t>在坚持产品品质前提下，根据广大消费者需求变化创新开发产品，丰富产品品类，最多得5分。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38" w:hRule="atLeast"/>
        </w:trPr>
        <w:tc>
          <w:tcPr>
            <w:tcW w:w="1339" w:type="dxa"/>
            <w:vMerge w:val="restart"/>
            <w:shd w:val="clear" w:color="auto" w:fill="FFFFFF"/>
            <w:noWrap w:val="0"/>
            <w:vAlign w:val="center"/>
          </w:tcPr>
          <w:p>
            <w:pPr>
              <w:widowControl/>
              <w:jc w:val="center"/>
              <w:rPr>
                <w:rFonts w:ascii="宋体" w:hAnsi="宋体"/>
                <w:b/>
                <w:color w:val="000000"/>
                <w:kern w:val="0"/>
                <w:sz w:val="18"/>
                <w:szCs w:val="18"/>
              </w:rPr>
            </w:pPr>
            <w:r>
              <w:rPr>
                <w:rFonts w:hint="eastAsia" w:ascii="宋体" w:hAnsi="宋体"/>
                <w:b/>
                <w:color w:val="000000"/>
                <w:kern w:val="0"/>
                <w:sz w:val="18"/>
                <w:szCs w:val="18"/>
                <w:lang w:eastAsia="zh-CN"/>
              </w:rPr>
              <w:t>研发能力突出</w:t>
            </w:r>
          </w:p>
          <w:p>
            <w:pPr>
              <w:widowControl/>
              <w:jc w:val="center"/>
              <w:rPr>
                <w:rFonts w:ascii="宋体" w:hAnsi="宋体"/>
                <w:b/>
                <w:color w:val="000000"/>
                <w:kern w:val="0"/>
                <w:sz w:val="18"/>
                <w:szCs w:val="18"/>
              </w:rPr>
            </w:pPr>
            <w:r>
              <w:rPr>
                <w:rFonts w:hint="eastAsia" w:ascii="宋体" w:hAnsi="宋体"/>
                <w:b/>
                <w:color w:val="000000"/>
                <w:kern w:val="0"/>
                <w:sz w:val="18"/>
                <w:szCs w:val="18"/>
              </w:rPr>
              <w:t>（10分）</w:t>
            </w:r>
          </w:p>
        </w:tc>
        <w:tc>
          <w:tcPr>
            <w:tcW w:w="1450" w:type="dxa"/>
            <w:shd w:val="clear" w:color="auto" w:fill="FFFFFF"/>
            <w:noWrap w:val="0"/>
            <w:vAlign w:val="center"/>
          </w:tcPr>
          <w:p>
            <w:pPr>
              <w:widowControl/>
              <w:jc w:val="center"/>
              <w:rPr>
                <w:rFonts w:hint="eastAsia" w:ascii="宋体" w:hAnsi="宋体" w:eastAsia="宋体"/>
                <w:b/>
                <w:color w:val="000000"/>
                <w:kern w:val="0"/>
                <w:sz w:val="18"/>
                <w:szCs w:val="18"/>
                <w:lang w:eastAsia="zh-CN"/>
              </w:rPr>
            </w:pPr>
            <w:r>
              <w:rPr>
                <w:rFonts w:hint="eastAsia" w:ascii="宋体" w:hAnsi="宋体"/>
                <w:b/>
                <w:color w:val="000000"/>
                <w:kern w:val="0"/>
                <w:sz w:val="18"/>
                <w:szCs w:val="18"/>
                <w:lang w:val="en-US" w:eastAsia="zh-Hans"/>
              </w:rPr>
              <w:t>生产</w:t>
            </w:r>
            <w:r>
              <w:rPr>
                <w:rFonts w:hint="eastAsia" w:ascii="宋体" w:hAnsi="宋体"/>
                <w:b/>
                <w:color w:val="000000"/>
                <w:kern w:val="0"/>
                <w:sz w:val="18"/>
                <w:szCs w:val="18"/>
              </w:rPr>
              <w:t>技艺</w:t>
            </w:r>
            <w:r>
              <w:rPr>
                <w:rFonts w:hint="eastAsia" w:ascii="宋体" w:hAnsi="宋体"/>
                <w:b/>
                <w:color w:val="000000"/>
                <w:kern w:val="0"/>
                <w:sz w:val="18"/>
                <w:szCs w:val="18"/>
                <w:lang w:val="en-US" w:eastAsia="zh-Hans"/>
              </w:rPr>
              <w:t>革新</w:t>
            </w:r>
          </w:p>
        </w:tc>
        <w:tc>
          <w:tcPr>
            <w:tcW w:w="5387" w:type="dxa"/>
            <w:shd w:val="clear" w:color="auto" w:fill="FFFFFF"/>
            <w:noWrap w:val="0"/>
            <w:vAlign w:val="center"/>
          </w:tcPr>
          <w:p>
            <w:pPr>
              <w:rPr>
                <w:rFonts w:ascii="宋体" w:hAnsi="宋体"/>
                <w:color w:val="000000"/>
                <w:kern w:val="0"/>
                <w:sz w:val="18"/>
                <w:szCs w:val="18"/>
              </w:rPr>
            </w:pPr>
            <w:r>
              <w:rPr>
                <w:rFonts w:hint="eastAsia" w:ascii="宋体" w:hAnsi="宋体"/>
                <w:color w:val="000000"/>
                <w:kern w:val="0"/>
                <w:sz w:val="18"/>
                <w:szCs w:val="18"/>
              </w:rPr>
              <w:t>运用先进技术和设备，全面掌握并运用传统工艺核心技艺和关键技术，与时俱进改进技艺，创新生产方式，降低生产成本，提高生产效率，形成了</w:t>
            </w:r>
            <w:r>
              <w:rPr>
                <w:rFonts w:hint="eastAsia" w:ascii="宋体" w:hAnsi="宋体"/>
                <w:color w:val="000000"/>
                <w:sz w:val="18"/>
                <w:szCs w:val="18"/>
              </w:rPr>
              <w:t>与品牌传统工艺技术相匹配的新技艺，且成效明显。（4分）</w:t>
            </w:r>
          </w:p>
        </w:tc>
        <w:tc>
          <w:tcPr>
            <w:tcW w:w="6581" w:type="dxa"/>
            <w:shd w:val="clear" w:color="auto" w:fill="FFFFFF"/>
            <w:noWrap w:val="0"/>
            <w:vAlign w:val="center"/>
          </w:tcPr>
          <w:p>
            <w:pPr>
              <w:rPr>
                <w:rFonts w:ascii="宋体" w:hAnsi="宋体"/>
                <w:color w:val="000000"/>
                <w:kern w:val="0"/>
                <w:sz w:val="18"/>
                <w:szCs w:val="18"/>
              </w:rPr>
            </w:pPr>
            <w:r>
              <w:rPr>
                <w:rFonts w:hint="eastAsia" w:ascii="宋体" w:hAnsi="宋体"/>
                <w:color w:val="000000"/>
                <w:kern w:val="0"/>
                <w:sz w:val="18"/>
                <w:szCs w:val="18"/>
              </w:rPr>
              <w:t>运用先进技术和设备，全面掌握并运用传统工艺核心技艺和关键技术，与时俱进改进技艺，创新生产方式，降低生产成本，提高生产效率，形成了</w:t>
            </w:r>
            <w:r>
              <w:rPr>
                <w:rFonts w:hint="eastAsia" w:ascii="宋体" w:hAnsi="宋体"/>
                <w:color w:val="000000"/>
                <w:sz w:val="18"/>
                <w:szCs w:val="18"/>
              </w:rPr>
              <w:t>与品牌传统工艺技术相匹配的新技艺，且成效明显，最多得4分。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89" w:hRule="atLeast"/>
        </w:trPr>
        <w:tc>
          <w:tcPr>
            <w:tcW w:w="1339" w:type="dxa"/>
            <w:vMerge w:val="continue"/>
            <w:shd w:val="clear" w:color="auto" w:fill="FFFFFF"/>
            <w:noWrap w:val="0"/>
            <w:vAlign w:val="center"/>
          </w:tcPr>
          <w:p>
            <w:pPr>
              <w:widowControl/>
              <w:jc w:val="center"/>
              <w:rPr>
                <w:rFonts w:ascii="宋体" w:hAnsi="宋体"/>
                <w:b/>
                <w:color w:val="000000"/>
                <w:kern w:val="0"/>
                <w:sz w:val="18"/>
                <w:szCs w:val="18"/>
              </w:rPr>
            </w:pPr>
          </w:p>
        </w:tc>
        <w:tc>
          <w:tcPr>
            <w:tcW w:w="1450" w:type="dxa"/>
            <w:shd w:val="clear" w:color="auto" w:fill="FFFFFF"/>
            <w:noWrap w:val="0"/>
            <w:vAlign w:val="center"/>
          </w:tcPr>
          <w:p>
            <w:pPr>
              <w:widowControl/>
              <w:jc w:val="center"/>
              <w:rPr>
                <w:rFonts w:ascii="宋体" w:hAnsi="宋体"/>
                <w:b/>
                <w:color w:val="000000"/>
                <w:kern w:val="0"/>
                <w:sz w:val="18"/>
                <w:szCs w:val="18"/>
              </w:rPr>
            </w:pPr>
            <w:r>
              <w:rPr>
                <w:rFonts w:hint="eastAsia" w:ascii="宋体" w:hAnsi="宋体"/>
                <w:b/>
                <w:color w:val="000000"/>
                <w:kern w:val="0"/>
                <w:sz w:val="18"/>
                <w:szCs w:val="18"/>
                <w:lang w:eastAsia="zh-CN"/>
              </w:rPr>
              <w:t>科技</w:t>
            </w:r>
            <w:r>
              <w:rPr>
                <w:rFonts w:hint="eastAsia" w:ascii="宋体" w:hAnsi="宋体"/>
                <w:b/>
                <w:color w:val="000000"/>
                <w:kern w:val="0"/>
                <w:sz w:val="18"/>
                <w:szCs w:val="18"/>
                <w:lang w:val="en-US" w:eastAsia="zh-Hans"/>
              </w:rPr>
              <w:t>研发</w:t>
            </w:r>
            <w:r>
              <w:rPr>
                <w:rFonts w:hint="eastAsia" w:ascii="宋体" w:hAnsi="宋体"/>
                <w:b/>
                <w:color w:val="000000"/>
                <w:kern w:val="0"/>
                <w:sz w:val="18"/>
                <w:szCs w:val="18"/>
                <w:lang w:eastAsia="zh-CN"/>
              </w:rPr>
              <w:t>创新</w:t>
            </w:r>
          </w:p>
        </w:tc>
        <w:tc>
          <w:tcPr>
            <w:tcW w:w="5387" w:type="dxa"/>
            <w:shd w:val="clear" w:color="auto" w:fill="FFFFFF"/>
            <w:noWrap w:val="0"/>
            <w:vAlign w:val="center"/>
          </w:tcPr>
          <w:p>
            <w:pPr>
              <w:rPr>
                <w:rFonts w:ascii="宋体" w:hAnsi="宋体"/>
                <w:color w:val="000000"/>
                <w:kern w:val="0"/>
                <w:sz w:val="18"/>
                <w:szCs w:val="18"/>
              </w:rPr>
            </w:pPr>
            <w:r>
              <w:rPr>
                <w:rFonts w:hint="eastAsia" w:ascii="宋体" w:hAnsi="宋体"/>
                <w:color w:val="000000"/>
                <w:kern w:val="0"/>
                <w:sz w:val="18"/>
                <w:szCs w:val="18"/>
              </w:rPr>
              <w:t>建立技术中心或科研机构，对传统技艺进行研究、保护、传承和创新。（3分）</w:t>
            </w:r>
          </w:p>
        </w:tc>
        <w:tc>
          <w:tcPr>
            <w:tcW w:w="6581" w:type="dxa"/>
            <w:shd w:val="clear" w:color="auto" w:fill="FFFFFF"/>
            <w:noWrap w:val="0"/>
            <w:vAlign w:val="center"/>
          </w:tcPr>
          <w:p>
            <w:pPr>
              <w:rPr>
                <w:rFonts w:ascii="宋体" w:hAnsi="宋体"/>
                <w:color w:val="000000"/>
                <w:kern w:val="0"/>
                <w:sz w:val="18"/>
                <w:szCs w:val="18"/>
              </w:rPr>
            </w:pPr>
            <w:r>
              <w:rPr>
                <w:rFonts w:hint="eastAsia" w:ascii="宋体" w:hAnsi="宋体"/>
                <w:color w:val="000000"/>
                <w:sz w:val="18"/>
                <w:szCs w:val="18"/>
              </w:rPr>
              <w:t>建立国家级技术中心或同级别科研机构（3分）；建立省级技术中心或同级别科研机构（2分）；建立市级技术中心或同级别科研机构（1分）。</w:t>
            </w:r>
            <w:r>
              <w:rPr>
                <w:rFonts w:hint="eastAsia" w:ascii="宋体" w:hAnsi="宋体"/>
                <w:color w:val="000000"/>
                <w:kern w:val="0"/>
                <w:sz w:val="18"/>
                <w:szCs w:val="18"/>
              </w:rPr>
              <w:t>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64" w:hRule="atLeast"/>
        </w:trPr>
        <w:tc>
          <w:tcPr>
            <w:tcW w:w="1339" w:type="dxa"/>
            <w:vMerge w:val="continue"/>
            <w:shd w:val="clear" w:color="auto" w:fill="FFFFFF"/>
            <w:noWrap w:val="0"/>
            <w:vAlign w:val="center"/>
          </w:tcPr>
          <w:p>
            <w:pPr>
              <w:widowControl/>
              <w:jc w:val="center"/>
              <w:rPr>
                <w:rFonts w:ascii="宋体" w:hAnsi="宋体"/>
                <w:b/>
                <w:color w:val="000000"/>
                <w:kern w:val="0"/>
                <w:sz w:val="18"/>
                <w:szCs w:val="18"/>
              </w:rPr>
            </w:pPr>
          </w:p>
        </w:tc>
        <w:tc>
          <w:tcPr>
            <w:tcW w:w="1450" w:type="dxa"/>
            <w:shd w:val="clear" w:color="auto" w:fill="FFFFFF"/>
            <w:noWrap w:val="0"/>
            <w:vAlign w:val="center"/>
          </w:tcPr>
          <w:p>
            <w:pPr>
              <w:widowControl/>
              <w:jc w:val="center"/>
              <w:rPr>
                <w:rFonts w:hint="eastAsia" w:ascii="宋体" w:hAnsi="宋体" w:eastAsia="宋体"/>
                <w:b/>
                <w:color w:val="000000"/>
                <w:kern w:val="0"/>
                <w:sz w:val="18"/>
                <w:szCs w:val="18"/>
                <w:lang w:eastAsia="zh-CN"/>
              </w:rPr>
            </w:pPr>
            <w:r>
              <w:rPr>
                <w:rFonts w:hint="eastAsia" w:ascii="宋体" w:hAnsi="宋体"/>
                <w:b/>
                <w:color w:val="000000"/>
                <w:kern w:val="0"/>
                <w:sz w:val="18"/>
                <w:szCs w:val="18"/>
              </w:rPr>
              <w:t>人才培养</w:t>
            </w:r>
            <w:r>
              <w:rPr>
                <w:rFonts w:hint="eastAsia" w:ascii="宋体" w:hAnsi="宋体"/>
                <w:b/>
                <w:color w:val="000000"/>
                <w:kern w:val="0"/>
                <w:sz w:val="18"/>
                <w:szCs w:val="18"/>
                <w:lang w:eastAsia="zh-CN"/>
              </w:rPr>
              <w:t>有力</w:t>
            </w:r>
          </w:p>
        </w:tc>
        <w:tc>
          <w:tcPr>
            <w:tcW w:w="5387" w:type="dxa"/>
            <w:shd w:val="clear" w:color="auto" w:fill="FFFFFF"/>
            <w:noWrap w:val="0"/>
            <w:vAlign w:val="center"/>
          </w:tcPr>
          <w:p>
            <w:pPr>
              <w:rPr>
                <w:rFonts w:ascii="宋体" w:hAnsi="宋体"/>
                <w:color w:val="000000"/>
                <w:kern w:val="0"/>
                <w:sz w:val="18"/>
                <w:szCs w:val="18"/>
              </w:rPr>
            </w:pPr>
            <w:r>
              <w:rPr>
                <w:rFonts w:hint="eastAsia" w:ascii="宋体" w:hAnsi="宋体"/>
                <w:color w:val="000000"/>
                <w:kern w:val="0"/>
                <w:sz w:val="18"/>
                <w:szCs w:val="18"/>
              </w:rPr>
              <w:t>有完善的人才培养和管理制度，注重专业人才队伍建设。（3分）</w:t>
            </w:r>
          </w:p>
        </w:tc>
        <w:tc>
          <w:tcPr>
            <w:tcW w:w="6581" w:type="dxa"/>
            <w:shd w:val="clear" w:color="auto" w:fill="FFFFFF"/>
            <w:noWrap w:val="0"/>
            <w:vAlign w:val="center"/>
          </w:tcPr>
          <w:p>
            <w:pPr>
              <w:rPr>
                <w:rFonts w:ascii="宋体" w:hAnsi="宋体"/>
                <w:color w:val="000000"/>
                <w:sz w:val="18"/>
                <w:szCs w:val="18"/>
              </w:rPr>
            </w:pPr>
            <w:r>
              <w:rPr>
                <w:rFonts w:hint="eastAsia" w:ascii="宋体" w:hAnsi="宋体"/>
                <w:color w:val="000000"/>
                <w:kern w:val="0"/>
                <w:sz w:val="18"/>
                <w:szCs w:val="18"/>
              </w:rPr>
              <w:t>有完善的人才培养和管理制度，</w:t>
            </w:r>
            <w:r>
              <w:rPr>
                <w:rFonts w:hint="eastAsia" w:ascii="宋体" w:hAnsi="宋体"/>
                <w:color w:val="000000"/>
                <w:sz w:val="18"/>
                <w:szCs w:val="18"/>
              </w:rPr>
              <w:t>定期组织员工培训，积极吸收高等教育毕业生就业，吸纳非物质文化遗产代表性传承人参与生产或培训等。</w:t>
            </w:r>
            <w:r>
              <w:rPr>
                <w:rFonts w:hint="eastAsia" w:ascii="宋体" w:hAnsi="宋体"/>
                <w:color w:val="000000"/>
                <w:kern w:val="0"/>
                <w:sz w:val="18"/>
                <w:szCs w:val="18"/>
              </w:rPr>
              <w:t>每采取一项措施得1分，最多得3分。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26" w:hRule="atLeast"/>
        </w:trPr>
        <w:tc>
          <w:tcPr>
            <w:tcW w:w="1339" w:type="dxa"/>
            <w:vMerge w:val="restart"/>
            <w:shd w:val="clear" w:color="auto" w:fill="FFFFFF"/>
            <w:noWrap w:val="0"/>
            <w:vAlign w:val="center"/>
          </w:tcPr>
          <w:p>
            <w:pPr>
              <w:jc w:val="center"/>
              <w:rPr>
                <w:rFonts w:hint="eastAsia" w:ascii="宋体" w:hAnsi="宋体" w:eastAsia="宋体"/>
                <w:b/>
                <w:color w:val="000000"/>
                <w:kern w:val="0"/>
                <w:sz w:val="18"/>
                <w:szCs w:val="18"/>
                <w:lang w:eastAsia="zh-CN"/>
              </w:rPr>
            </w:pPr>
            <w:r>
              <w:rPr>
                <w:rFonts w:hint="eastAsia" w:ascii="宋体" w:hAnsi="宋体"/>
                <w:b/>
                <w:color w:val="000000"/>
                <w:kern w:val="0"/>
                <w:sz w:val="18"/>
                <w:szCs w:val="18"/>
              </w:rPr>
              <w:t>消费场景</w:t>
            </w:r>
            <w:r>
              <w:rPr>
                <w:rFonts w:hint="eastAsia" w:ascii="宋体" w:hAnsi="宋体"/>
                <w:b/>
                <w:color w:val="000000"/>
                <w:kern w:val="0"/>
                <w:sz w:val="18"/>
                <w:szCs w:val="18"/>
                <w:lang w:eastAsia="zh-CN"/>
              </w:rPr>
              <w:t>丰富</w:t>
            </w:r>
          </w:p>
          <w:p>
            <w:pPr>
              <w:jc w:val="center"/>
              <w:rPr>
                <w:rFonts w:ascii="宋体" w:hAnsi="宋体"/>
                <w:b/>
                <w:color w:val="000000"/>
                <w:kern w:val="0"/>
                <w:sz w:val="18"/>
                <w:szCs w:val="18"/>
              </w:rPr>
            </w:pPr>
            <w:r>
              <w:rPr>
                <w:rFonts w:hint="eastAsia" w:ascii="宋体" w:hAnsi="宋体"/>
                <w:b/>
                <w:color w:val="000000"/>
                <w:kern w:val="0"/>
                <w:sz w:val="18"/>
                <w:szCs w:val="18"/>
              </w:rPr>
              <w:t>（12分）</w:t>
            </w:r>
          </w:p>
        </w:tc>
        <w:tc>
          <w:tcPr>
            <w:tcW w:w="1450" w:type="dxa"/>
            <w:shd w:val="clear" w:color="auto" w:fill="FFFFFF"/>
            <w:noWrap w:val="0"/>
            <w:vAlign w:val="center"/>
          </w:tcPr>
          <w:p>
            <w:pPr>
              <w:jc w:val="center"/>
              <w:rPr>
                <w:rFonts w:hint="default" w:ascii="宋体" w:hAnsi="宋体" w:eastAsia="宋体"/>
                <w:b/>
                <w:color w:val="000000"/>
                <w:kern w:val="0"/>
                <w:sz w:val="18"/>
                <w:szCs w:val="18"/>
                <w:lang w:val="en-US" w:eastAsia="zh-Hans"/>
              </w:rPr>
            </w:pPr>
            <w:r>
              <w:rPr>
                <w:rFonts w:hint="eastAsia" w:ascii="宋体" w:hAnsi="宋体"/>
                <w:b/>
                <w:color w:val="000000"/>
                <w:kern w:val="0"/>
                <w:sz w:val="18"/>
                <w:szCs w:val="18"/>
                <w:lang w:eastAsia="zh-CN"/>
              </w:rPr>
              <w:t>传播</w:t>
            </w:r>
            <w:r>
              <w:rPr>
                <w:rFonts w:hint="eastAsia" w:ascii="宋体" w:hAnsi="宋体"/>
                <w:b/>
                <w:color w:val="000000"/>
                <w:kern w:val="0"/>
                <w:sz w:val="18"/>
                <w:szCs w:val="18"/>
                <w:lang w:val="en-US" w:eastAsia="zh-Hans"/>
              </w:rPr>
              <w:t>活动多样</w:t>
            </w:r>
          </w:p>
        </w:tc>
        <w:tc>
          <w:tcPr>
            <w:tcW w:w="5387" w:type="dxa"/>
            <w:shd w:val="clear" w:color="auto" w:fill="FFFFFF"/>
            <w:noWrap w:val="0"/>
            <w:vAlign w:val="center"/>
          </w:tcPr>
          <w:p>
            <w:pPr>
              <w:rPr>
                <w:rFonts w:ascii="宋体" w:hAnsi="宋体"/>
                <w:color w:val="000000"/>
                <w:kern w:val="0"/>
                <w:sz w:val="18"/>
                <w:szCs w:val="18"/>
              </w:rPr>
            </w:pPr>
            <w:r>
              <w:rPr>
                <w:rFonts w:hint="eastAsia" w:ascii="宋体" w:hAnsi="宋体"/>
                <w:color w:val="000000"/>
                <w:kern w:val="0"/>
                <w:sz w:val="18"/>
                <w:szCs w:val="18"/>
              </w:rPr>
              <w:t>举办形式多样的购物消费活动、文化内涵丰富的文化活动，以及突出商旅文融合发展的互动活动。（3分）</w:t>
            </w:r>
          </w:p>
        </w:tc>
        <w:tc>
          <w:tcPr>
            <w:tcW w:w="6581" w:type="dxa"/>
            <w:shd w:val="clear" w:color="auto" w:fill="FFFFFF"/>
            <w:noWrap w:val="0"/>
            <w:vAlign w:val="center"/>
          </w:tcPr>
          <w:p>
            <w:pPr>
              <w:rPr>
                <w:rFonts w:ascii="宋体" w:hAnsi="宋体"/>
                <w:color w:val="000000"/>
                <w:kern w:val="0"/>
                <w:sz w:val="18"/>
                <w:szCs w:val="18"/>
              </w:rPr>
            </w:pPr>
            <w:r>
              <w:rPr>
                <w:rFonts w:hint="eastAsia" w:ascii="宋体" w:hAnsi="宋体"/>
                <w:color w:val="000000"/>
                <w:sz w:val="18"/>
                <w:szCs w:val="18"/>
              </w:rPr>
              <w:t>经常性举办具有影响力的大型购物消费类活动、</w:t>
            </w:r>
            <w:r>
              <w:rPr>
                <w:rFonts w:hint="eastAsia" w:ascii="宋体" w:hAnsi="宋体"/>
                <w:color w:val="000000"/>
                <w:kern w:val="0"/>
                <w:sz w:val="18"/>
                <w:szCs w:val="18"/>
              </w:rPr>
              <w:t>文化内涵丰富的文化活动，以及突出商旅文融合发展的互动活动，每举办一次上述活动得0.5分，最多得3分。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27" w:hRule="atLeast"/>
        </w:trPr>
        <w:tc>
          <w:tcPr>
            <w:tcW w:w="1339" w:type="dxa"/>
            <w:vMerge w:val="continue"/>
            <w:shd w:val="clear" w:color="auto" w:fill="FFFFFF"/>
            <w:noWrap w:val="0"/>
            <w:vAlign w:val="top"/>
          </w:tcPr>
          <w:p>
            <w:pPr>
              <w:widowControl/>
              <w:rPr>
                <w:rFonts w:ascii="宋体" w:hAnsi="宋体"/>
                <w:b/>
                <w:color w:val="000000"/>
                <w:kern w:val="0"/>
                <w:sz w:val="18"/>
                <w:szCs w:val="18"/>
              </w:rPr>
            </w:pPr>
          </w:p>
        </w:tc>
        <w:tc>
          <w:tcPr>
            <w:tcW w:w="1450" w:type="dxa"/>
            <w:shd w:val="clear" w:color="auto" w:fill="FFFFFF"/>
            <w:noWrap w:val="0"/>
            <w:vAlign w:val="center"/>
          </w:tcPr>
          <w:p>
            <w:pPr>
              <w:widowControl/>
              <w:jc w:val="center"/>
              <w:rPr>
                <w:rFonts w:hint="eastAsia" w:ascii="宋体" w:hAnsi="宋体" w:eastAsia="宋体"/>
                <w:b/>
                <w:color w:val="000000"/>
                <w:kern w:val="0"/>
                <w:sz w:val="18"/>
                <w:szCs w:val="18"/>
                <w:lang w:val="en-US" w:eastAsia="zh-Hans"/>
              </w:rPr>
            </w:pPr>
            <w:r>
              <w:rPr>
                <w:rFonts w:hint="eastAsia" w:ascii="宋体" w:hAnsi="宋体"/>
                <w:b/>
                <w:color w:val="000000"/>
                <w:kern w:val="0"/>
                <w:sz w:val="18"/>
                <w:szCs w:val="18"/>
              </w:rPr>
              <w:t>跨界融合</w:t>
            </w:r>
            <w:r>
              <w:rPr>
                <w:rFonts w:hint="eastAsia" w:ascii="宋体" w:hAnsi="宋体"/>
                <w:b/>
                <w:color w:val="000000"/>
                <w:kern w:val="0"/>
                <w:sz w:val="18"/>
                <w:szCs w:val="18"/>
                <w:lang w:val="en-US" w:eastAsia="zh-Hans"/>
              </w:rPr>
              <w:t>精准</w:t>
            </w:r>
          </w:p>
        </w:tc>
        <w:tc>
          <w:tcPr>
            <w:tcW w:w="5387" w:type="dxa"/>
            <w:shd w:val="clear" w:color="auto" w:fill="FFFFFF"/>
            <w:noWrap w:val="0"/>
            <w:vAlign w:val="center"/>
          </w:tcPr>
          <w:p>
            <w:pPr>
              <w:rPr>
                <w:rFonts w:ascii="宋体" w:hAnsi="宋体"/>
                <w:color w:val="000000"/>
                <w:kern w:val="0"/>
                <w:sz w:val="18"/>
                <w:szCs w:val="18"/>
              </w:rPr>
            </w:pPr>
            <w:r>
              <w:rPr>
                <w:rFonts w:hint="eastAsia" w:ascii="宋体" w:hAnsi="宋体"/>
                <w:color w:val="000000"/>
                <w:kern w:val="0"/>
                <w:sz w:val="18"/>
                <w:szCs w:val="18"/>
              </w:rPr>
              <w:t>与匹配度高的</w:t>
            </w:r>
            <w:r>
              <w:rPr>
                <w:rFonts w:hint="eastAsia" w:ascii="宋体" w:hAnsi="宋体"/>
                <w:color w:val="000000"/>
                <w:kern w:val="0"/>
                <w:sz w:val="18"/>
                <w:szCs w:val="18"/>
                <w:highlight w:val="none"/>
              </w:rPr>
              <w:t>国货品牌、影视或动漫作品、文创产品等跨界互动，联合打造I</w:t>
            </w:r>
            <w:r>
              <w:rPr>
                <w:rFonts w:ascii="宋体" w:hAnsi="宋体"/>
                <w:color w:val="000000"/>
                <w:kern w:val="0"/>
                <w:sz w:val="18"/>
                <w:szCs w:val="18"/>
                <w:highlight w:val="none"/>
              </w:rPr>
              <w:t>P</w:t>
            </w:r>
            <w:r>
              <w:rPr>
                <w:rFonts w:hint="eastAsia" w:ascii="宋体" w:hAnsi="宋体"/>
                <w:color w:val="000000"/>
                <w:kern w:val="0"/>
                <w:sz w:val="18"/>
                <w:szCs w:val="18"/>
                <w:highlight w:val="none"/>
              </w:rPr>
              <w:t>，共同开展营销，吸引年轻消费群体，推动流量转化，引领国潮热点。（3分）</w:t>
            </w:r>
          </w:p>
        </w:tc>
        <w:tc>
          <w:tcPr>
            <w:tcW w:w="6581" w:type="dxa"/>
            <w:shd w:val="clear" w:color="auto" w:fill="FFFFFF"/>
            <w:noWrap w:val="0"/>
            <w:vAlign w:val="center"/>
          </w:tcPr>
          <w:p>
            <w:pPr>
              <w:rPr>
                <w:rFonts w:ascii="宋体" w:hAnsi="宋体"/>
                <w:color w:val="000000"/>
                <w:kern w:val="0"/>
                <w:sz w:val="18"/>
                <w:szCs w:val="18"/>
              </w:rPr>
            </w:pPr>
            <w:r>
              <w:rPr>
                <w:rFonts w:hint="eastAsia" w:ascii="宋体" w:hAnsi="宋体"/>
                <w:color w:val="000000"/>
                <w:kern w:val="0"/>
                <w:sz w:val="18"/>
                <w:szCs w:val="18"/>
              </w:rPr>
              <w:t>与匹配度高的国货品牌、影视或动漫作品、文创产品等跨界互动，联合打造I</w:t>
            </w:r>
            <w:r>
              <w:rPr>
                <w:rFonts w:ascii="宋体" w:hAnsi="宋体"/>
                <w:color w:val="000000"/>
                <w:kern w:val="0"/>
                <w:sz w:val="18"/>
                <w:szCs w:val="18"/>
              </w:rPr>
              <w:t>P</w:t>
            </w:r>
            <w:r>
              <w:rPr>
                <w:rFonts w:hint="eastAsia" w:ascii="宋体" w:hAnsi="宋体"/>
                <w:color w:val="000000"/>
                <w:kern w:val="0"/>
                <w:sz w:val="18"/>
                <w:szCs w:val="18"/>
              </w:rPr>
              <w:t>，共同开展营销。每采取一项措施得0.5分，最多得3分。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76" w:hRule="atLeast"/>
        </w:trPr>
        <w:tc>
          <w:tcPr>
            <w:tcW w:w="1339" w:type="dxa"/>
            <w:vMerge w:val="continue"/>
            <w:shd w:val="clear" w:color="auto" w:fill="FFFFFF"/>
            <w:noWrap w:val="0"/>
            <w:vAlign w:val="top"/>
          </w:tcPr>
          <w:p>
            <w:pPr>
              <w:widowControl/>
              <w:rPr>
                <w:rFonts w:ascii="宋体" w:hAnsi="宋体"/>
                <w:b/>
                <w:color w:val="000000"/>
                <w:kern w:val="0"/>
                <w:sz w:val="18"/>
                <w:szCs w:val="18"/>
              </w:rPr>
            </w:pPr>
          </w:p>
        </w:tc>
        <w:tc>
          <w:tcPr>
            <w:tcW w:w="1450" w:type="dxa"/>
            <w:shd w:val="clear" w:color="auto" w:fill="FFFFFF"/>
            <w:noWrap w:val="0"/>
            <w:vAlign w:val="center"/>
          </w:tcPr>
          <w:p>
            <w:pPr>
              <w:widowControl/>
              <w:jc w:val="center"/>
              <w:rPr>
                <w:rFonts w:hint="eastAsia" w:ascii="宋体" w:hAnsi="宋体" w:eastAsia="宋体"/>
                <w:b/>
                <w:color w:val="000000"/>
                <w:kern w:val="0"/>
                <w:sz w:val="18"/>
                <w:szCs w:val="18"/>
                <w:lang w:val="en-US" w:eastAsia="zh-CN"/>
              </w:rPr>
            </w:pPr>
            <w:r>
              <w:rPr>
                <w:rFonts w:hint="eastAsia" w:ascii="宋体" w:hAnsi="宋体"/>
                <w:b/>
                <w:color w:val="000000"/>
                <w:kern w:val="0"/>
                <w:sz w:val="18"/>
                <w:szCs w:val="18"/>
                <w:lang w:eastAsia="zh-CN"/>
              </w:rPr>
              <w:t>营销</w:t>
            </w:r>
            <w:r>
              <w:rPr>
                <w:rFonts w:hint="eastAsia" w:ascii="宋体" w:hAnsi="宋体"/>
                <w:b/>
                <w:color w:val="000000"/>
                <w:kern w:val="0"/>
                <w:sz w:val="18"/>
                <w:szCs w:val="18"/>
              </w:rPr>
              <w:t>渠道</w:t>
            </w:r>
            <w:r>
              <w:rPr>
                <w:rFonts w:hint="eastAsia" w:ascii="宋体" w:hAnsi="宋体"/>
                <w:b/>
                <w:color w:val="000000"/>
                <w:kern w:val="0"/>
                <w:sz w:val="18"/>
                <w:szCs w:val="18"/>
                <w:lang w:val="en-US" w:eastAsia="zh-CN"/>
              </w:rPr>
              <w:t>多元</w:t>
            </w:r>
          </w:p>
        </w:tc>
        <w:tc>
          <w:tcPr>
            <w:tcW w:w="5387" w:type="dxa"/>
            <w:shd w:val="clear" w:color="auto" w:fill="FFFFFF"/>
            <w:noWrap w:val="0"/>
            <w:vAlign w:val="center"/>
          </w:tcPr>
          <w:p>
            <w:pPr>
              <w:rPr>
                <w:rFonts w:ascii="宋体" w:hAnsi="宋体"/>
                <w:color w:val="000000"/>
                <w:kern w:val="0"/>
                <w:sz w:val="18"/>
                <w:szCs w:val="18"/>
              </w:rPr>
            </w:pPr>
            <w:r>
              <w:rPr>
                <w:rFonts w:hint="eastAsia" w:ascii="宋体" w:hAnsi="宋体"/>
                <w:color w:val="000000"/>
                <w:kern w:val="0"/>
                <w:sz w:val="18"/>
                <w:szCs w:val="18"/>
              </w:rPr>
              <w:t>运用互联网技术，利用第三方平台、公众号、直播带货、快闪店等方式，全方位推动线上线下营销渠道融合。（3分）</w:t>
            </w:r>
          </w:p>
        </w:tc>
        <w:tc>
          <w:tcPr>
            <w:tcW w:w="6581" w:type="dxa"/>
            <w:shd w:val="clear" w:color="auto" w:fill="FFFFFF"/>
            <w:noWrap w:val="0"/>
            <w:vAlign w:val="center"/>
          </w:tcPr>
          <w:p>
            <w:pPr>
              <w:rPr>
                <w:rFonts w:ascii="宋体" w:hAnsi="宋体"/>
                <w:color w:val="000000"/>
                <w:kern w:val="0"/>
                <w:sz w:val="18"/>
                <w:szCs w:val="18"/>
              </w:rPr>
            </w:pPr>
            <w:r>
              <w:rPr>
                <w:rFonts w:hint="eastAsia" w:ascii="宋体" w:hAnsi="宋体"/>
                <w:color w:val="000000"/>
                <w:kern w:val="0"/>
                <w:sz w:val="18"/>
                <w:szCs w:val="18"/>
              </w:rPr>
              <w:t>运用互联网技术，利用第三方平台、公众号、直播、快闪店等方式，全方位推动线上线下营销渠道融合，每采取一种线上营销方式可得0.5分，最多得3分。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64" w:hRule="atLeast"/>
        </w:trPr>
        <w:tc>
          <w:tcPr>
            <w:tcW w:w="1339" w:type="dxa"/>
            <w:vMerge w:val="continue"/>
            <w:shd w:val="clear" w:color="auto" w:fill="FFFFFF"/>
            <w:noWrap w:val="0"/>
            <w:vAlign w:val="top"/>
          </w:tcPr>
          <w:p>
            <w:pPr>
              <w:widowControl/>
              <w:rPr>
                <w:rFonts w:ascii="宋体" w:hAnsi="宋体"/>
                <w:b/>
                <w:color w:val="000000"/>
                <w:kern w:val="0"/>
                <w:sz w:val="18"/>
                <w:szCs w:val="18"/>
              </w:rPr>
            </w:pPr>
          </w:p>
        </w:tc>
        <w:tc>
          <w:tcPr>
            <w:tcW w:w="1450" w:type="dxa"/>
            <w:shd w:val="clear" w:color="auto" w:fill="FFFFFF"/>
            <w:noWrap w:val="0"/>
            <w:vAlign w:val="center"/>
          </w:tcPr>
          <w:p>
            <w:pPr>
              <w:widowControl/>
              <w:jc w:val="center"/>
              <w:rPr>
                <w:rFonts w:hint="eastAsia" w:ascii="宋体" w:hAnsi="宋体" w:eastAsia="宋体"/>
                <w:b/>
                <w:color w:val="000000"/>
                <w:kern w:val="0"/>
                <w:sz w:val="18"/>
                <w:szCs w:val="18"/>
                <w:lang w:eastAsia="zh-CN"/>
              </w:rPr>
            </w:pPr>
            <w:r>
              <w:rPr>
                <w:rFonts w:hint="eastAsia" w:ascii="宋体" w:hAnsi="宋体"/>
                <w:b/>
                <w:color w:val="000000"/>
                <w:kern w:val="0"/>
                <w:sz w:val="18"/>
                <w:szCs w:val="18"/>
                <w:lang w:val="en-US" w:eastAsia="zh-CN"/>
              </w:rPr>
              <w:t>消费体验提升</w:t>
            </w:r>
          </w:p>
        </w:tc>
        <w:tc>
          <w:tcPr>
            <w:tcW w:w="5387" w:type="dxa"/>
            <w:shd w:val="clear" w:color="auto" w:fill="FFFFFF"/>
            <w:noWrap w:val="0"/>
            <w:vAlign w:val="center"/>
          </w:tcPr>
          <w:p>
            <w:pPr>
              <w:rPr>
                <w:rFonts w:ascii="宋体" w:hAnsi="宋体"/>
                <w:color w:val="000000"/>
                <w:kern w:val="0"/>
                <w:sz w:val="18"/>
                <w:szCs w:val="18"/>
              </w:rPr>
            </w:pPr>
            <w:r>
              <w:rPr>
                <w:rFonts w:hint="eastAsia" w:ascii="宋体" w:hAnsi="宋体"/>
                <w:color w:val="000000"/>
                <w:kern w:val="0"/>
                <w:sz w:val="18"/>
                <w:szCs w:val="18"/>
              </w:rPr>
              <w:t>注重设计标识、改进包装、升级店面、提供增值服务等，提升产品消费体验。（3分）</w:t>
            </w:r>
          </w:p>
        </w:tc>
        <w:tc>
          <w:tcPr>
            <w:tcW w:w="6581" w:type="dxa"/>
            <w:shd w:val="clear" w:color="auto" w:fill="FFFFFF"/>
            <w:noWrap w:val="0"/>
            <w:vAlign w:val="center"/>
          </w:tcPr>
          <w:p>
            <w:pPr>
              <w:rPr>
                <w:rFonts w:ascii="宋体" w:hAnsi="宋体"/>
                <w:color w:val="000000"/>
                <w:kern w:val="0"/>
                <w:sz w:val="18"/>
                <w:szCs w:val="18"/>
              </w:rPr>
            </w:pPr>
            <w:r>
              <w:rPr>
                <w:rFonts w:hint="eastAsia" w:ascii="宋体" w:hAnsi="宋体"/>
                <w:color w:val="000000"/>
                <w:kern w:val="0"/>
                <w:sz w:val="18"/>
                <w:szCs w:val="18"/>
              </w:rPr>
              <w:t>通过注重设计标识、改进包装，升级店面、提供增值服务等措施，提升产品消费体验，吸引更多消费群体，每采用一种措施得0.5分，最多得3分。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1339" w:type="dxa"/>
            <w:vMerge w:val="restart"/>
            <w:shd w:val="clear" w:color="auto" w:fill="FFFFFF"/>
            <w:noWrap w:val="0"/>
            <w:vAlign w:val="center"/>
          </w:tcPr>
          <w:p>
            <w:pPr>
              <w:widowControl/>
              <w:jc w:val="center"/>
              <w:rPr>
                <w:rFonts w:ascii="宋体" w:hAnsi="宋体"/>
                <w:b/>
                <w:color w:val="000000"/>
                <w:kern w:val="0"/>
                <w:sz w:val="18"/>
                <w:szCs w:val="18"/>
              </w:rPr>
            </w:pPr>
            <w:r>
              <w:rPr>
                <w:rFonts w:hint="eastAsia" w:ascii="宋体" w:hAnsi="宋体"/>
                <w:b/>
                <w:color w:val="000000"/>
                <w:kern w:val="0"/>
                <w:sz w:val="18"/>
                <w:szCs w:val="18"/>
              </w:rPr>
              <w:t>社会贡献</w:t>
            </w:r>
            <w:r>
              <w:rPr>
                <w:rFonts w:hint="eastAsia" w:ascii="宋体" w:hAnsi="宋体"/>
                <w:b/>
                <w:color w:val="000000"/>
                <w:kern w:val="0"/>
                <w:sz w:val="18"/>
                <w:szCs w:val="18"/>
                <w:lang w:eastAsia="zh-CN"/>
              </w:rPr>
              <w:t>杰出</w:t>
            </w:r>
          </w:p>
          <w:p>
            <w:pPr>
              <w:jc w:val="center"/>
              <w:rPr>
                <w:rFonts w:ascii="宋体" w:hAnsi="宋体"/>
                <w:color w:val="000000"/>
                <w:kern w:val="0"/>
                <w:sz w:val="18"/>
                <w:szCs w:val="18"/>
              </w:rPr>
            </w:pPr>
            <w:r>
              <w:rPr>
                <w:rFonts w:hint="eastAsia" w:ascii="宋体" w:hAnsi="宋体"/>
                <w:b/>
                <w:color w:val="000000"/>
                <w:kern w:val="0"/>
                <w:sz w:val="18"/>
                <w:szCs w:val="18"/>
              </w:rPr>
              <w:t>（8分）</w:t>
            </w:r>
          </w:p>
        </w:tc>
        <w:tc>
          <w:tcPr>
            <w:tcW w:w="1450" w:type="dxa"/>
            <w:shd w:val="clear" w:color="auto" w:fill="FFFFFF"/>
            <w:noWrap w:val="0"/>
            <w:vAlign w:val="center"/>
          </w:tcPr>
          <w:p>
            <w:pPr>
              <w:widowControl/>
              <w:jc w:val="center"/>
              <w:rPr>
                <w:rFonts w:ascii="宋体" w:hAnsi="宋体" w:cs="黑体"/>
                <w:b/>
                <w:color w:val="000000"/>
                <w:kern w:val="0"/>
                <w:sz w:val="18"/>
                <w:szCs w:val="18"/>
              </w:rPr>
            </w:pPr>
            <w:r>
              <w:rPr>
                <w:rFonts w:hint="eastAsia" w:ascii="宋体" w:hAnsi="宋体"/>
                <w:b/>
                <w:color w:val="000000"/>
                <w:kern w:val="0"/>
                <w:sz w:val="18"/>
                <w:szCs w:val="18"/>
                <w:lang w:eastAsia="zh-CN"/>
              </w:rPr>
              <w:t>履行</w:t>
            </w:r>
            <w:r>
              <w:rPr>
                <w:rFonts w:hint="eastAsia" w:ascii="宋体" w:hAnsi="宋体"/>
                <w:b/>
                <w:color w:val="000000"/>
                <w:kern w:val="0"/>
                <w:sz w:val="18"/>
                <w:szCs w:val="18"/>
              </w:rPr>
              <w:t>社会责任</w:t>
            </w:r>
          </w:p>
        </w:tc>
        <w:tc>
          <w:tcPr>
            <w:tcW w:w="5387" w:type="dxa"/>
            <w:shd w:val="clear" w:color="auto" w:fill="FFFFFF"/>
            <w:noWrap w:val="0"/>
            <w:vAlign w:val="center"/>
          </w:tcPr>
          <w:p>
            <w:pPr>
              <w:rPr>
                <w:rFonts w:ascii="宋体" w:hAnsi="宋体" w:cs="黑体"/>
                <w:color w:val="000000"/>
                <w:kern w:val="0"/>
                <w:sz w:val="18"/>
                <w:szCs w:val="18"/>
              </w:rPr>
            </w:pPr>
            <w:r>
              <w:rPr>
                <w:rFonts w:hint="eastAsia" w:ascii="宋体" w:hAnsi="宋体"/>
                <w:color w:val="000000"/>
                <w:kern w:val="0"/>
                <w:sz w:val="18"/>
                <w:szCs w:val="18"/>
              </w:rPr>
              <w:t>参与疫情防控、抢险救灾、应急保供等重大任务。（3分）</w:t>
            </w:r>
          </w:p>
        </w:tc>
        <w:tc>
          <w:tcPr>
            <w:tcW w:w="6581" w:type="dxa"/>
            <w:shd w:val="clear" w:color="auto" w:fill="FFFFFF"/>
            <w:noWrap w:val="0"/>
            <w:vAlign w:val="center"/>
          </w:tcPr>
          <w:p>
            <w:pPr>
              <w:rPr>
                <w:rFonts w:ascii="宋体" w:hAnsi="宋体" w:cs="黑体"/>
                <w:color w:val="000000"/>
                <w:kern w:val="0"/>
                <w:sz w:val="18"/>
                <w:szCs w:val="18"/>
              </w:rPr>
            </w:pPr>
            <w:r>
              <w:rPr>
                <w:rFonts w:hint="eastAsia" w:ascii="宋体" w:hAnsi="宋体"/>
                <w:color w:val="000000"/>
                <w:kern w:val="0"/>
                <w:sz w:val="18"/>
                <w:szCs w:val="18"/>
              </w:rPr>
              <w:t>每参与一次任务得0.5分，最多得3分。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339" w:type="dxa"/>
            <w:vMerge w:val="continue"/>
            <w:shd w:val="clear" w:color="auto" w:fill="FFFFFF"/>
            <w:noWrap w:val="0"/>
            <w:vAlign w:val="center"/>
          </w:tcPr>
          <w:p>
            <w:pPr>
              <w:widowControl/>
              <w:jc w:val="center"/>
              <w:rPr>
                <w:rFonts w:ascii="宋体" w:hAnsi="宋体"/>
                <w:color w:val="000000"/>
                <w:kern w:val="0"/>
                <w:sz w:val="18"/>
                <w:szCs w:val="18"/>
              </w:rPr>
            </w:pPr>
          </w:p>
        </w:tc>
        <w:tc>
          <w:tcPr>
            <w:tcW w:w="1450" w:type="dxa"/>
            <w:shd w:val="clear" w:color="auto" w:fill="FFFFFF"/>
            <w:noWrap w:val="0"/>
            <w:vAlign w:val="center"/>
          </w:tcPr>
          <w:p>
            <w:pPr>
              <w:widowControl/>
              <w:jc w:val="center"/>
              <w:rPr>
                <w:rFonts w:ascii="宋体" w:hAnsi="宋体" w:cs="黑体"/>
                <w:b/>
                <w:color w:val="000000"/>
                <w:kern w:val="0"/>
                <w:sz w:val="18"/>
                <w:szCs w:val="18"/>
              </w:rPr>
            </w:pPr>
            <w:r>
              <w:rPr>
                <w:rFonts w:hint="eastAsia" w:ascii="宋体" w:hAnsi="宋体"/>
                <w:b/>
                <w:color w:val="000000"/>
                <w:kern w:val="0"/>
                <w:sz w:val="18"/>
                <w:szCs w:val="18"/>
              </w:rPr>
              <w:t>参与</w:t>
            </w:r>
            <w:r>
              <w:rPr>
                <w:rFonts w:hint="eastAsia" w:ascii="宋体" w:hAnsi="宋体"/>
                <w:b/>
                <w:color w:val="000000"/>
                <w:kern w:val="0"/>
                <w:sz w:val="18"/>
                <w:szCs w:val="18"/>
                <w:lang w:eastAsia="zh-CN"/>
              </w:rPr>
              <w:t>公益</w:t>
            </w:r>
            <w:r>
              <w:rPr>
                <w:rFonts w:hint="eastAsia" w:ascii="宋体" w:hAnsi="宋体"/>
                <w:b/>
                <w:color w:val="000000"/>
                <w:kern w:val="0"/>
                <w:sz w:val="18"/>
                <w:szCs w:val="18"/>
              </w:rPr>
              <w:t>活动</w:t>
            </w:r>
          </w:p>
        </w:tc>
        <w:tc>
          <w:tcPr>
            <w:tcW w:w="5387" w:type="dxa"/>
            <w:shd w:val="clear" w:color="auto" w:fill="FFFFFF"/>
            <w:noWrap w:val="0"/>
            <w:vAlign w:val="center"/>
          </w:tcPr>
          <w:p>
            <w:pPr>
              <w:rPr>
                <w:rFonts w:ascii="宋体" w:hAnsi="宋体" w:cs="黑体"/>
                <w:color w:val="000000"/>
                <w:kern w:val="0"/>
                <w:sz w:val="18"/>
                <w:szCs w:val="18"/>
              </w:rPr>
            </w:pPr>
            <w:r>
              <w:rPr>
                <w:rFonts w:hint="eastAsia" w:ascii="宋体" w:hAnsi="宋体"/>
                <w:color w:val="000000"/>
                <w:kern w:val="0"/>
                <w:sz w:val="18"/>
                <w:szCs w:val="18"/>
              </w:rPr>
              <w:t>积极参与政府部门、行业协会组织的老字号活动，组织促进行业发展的公益性活动。（3分）</w:t>
            </w:r>
          </w:p>
        </w:tc>
        <w:tc>
          <w:tcPr>
            <w:tcW w:w="6581" w:type="dxa"/>
            <w:shd w:val="clear" w:color="auto" w:fill="FFFFFF"/>
            <w:noWrap w:val="0"/>
            <w:vAlign w:val="center"/>
          </w:tcPr>
          <w:p>
            <w:pPr>
              <w:rPr>
                <w:rFonts w:ascii="宋体" w:hAnsi="宋体" w:cs="黑体"/>
                <w:color w:val="000000"/>
                <w:kern w:val="0"/>
                <w:sz w:val="18"/>
                <w:szCs w:val="18"/>
              </w:rPr>
            </w:pPr>
            <w:r>
              <w:rPr>
                <w:rFonts w:hint="eastAsia" w:ascii="宋体" w:hAnsi="宋体"/>
                <w:color w:val="000000"/>
                <w:kern w:val="0"/>
                <w:sz w:val="18"/>
                <w:szCs w:val="18"/>
              </w:rPr>
              <w:t>每参与1项政府部门、行业协会组织的老字号活动得0.5分；每组织一次促进行业发展的公益性活动得0.5分。最多得3分。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39" w:type="dxa"/>
            <w:vMerge w:val="continue"/>
            <w:shd w:val="clear" w:color="auto" w:fill="FFFFFF"/>
            <w:noWrap w:val="0"/>
            <w:vAlign w:val="center"/>
          </w:tcPr>
          <w:p>
            <w:pPr>
              <w:widowControl/>
              <w:jc w:val="center"/>
              <w:rPr>
                <w:rFonts w:ascii="宋体" w:hAnsi="宋体"/>
                <w:color w:val="000000"/>
                <w:kern w:val="0"/>
                <w:sz w:val="18"/>
                <w:szCs w:val="18"/>
              </w:rPr>
            </w:pPr>
          </w:p>
        </w:tc>
        <w:tc>
          <w:tcPr>
            <w:tcW w:w="1450" w:type="dxa"/>
            <w:shd w:val="clear" w:color="auto" w:fill="FFFFFF"/>
            <w:noWrap w:val="0"/>
            <w:vAlign w:val="center"/>
          </w:tcPr>
          <w:p>
            <w:pPr>
              <w:widowControl/>
              <w:jc w:val="center"/>
              <w:rPr>
                <w:rFonts w:hint="eastAsia" w:ascii="宋体" w:hAnsi="宋体" w:eastAsia="宋体" w:cs="黑体"/>
                <w:b/>
                <w:color w:val="000000"/>
                <w:kern w:val="0"/>
                <w:sz w:val="18"/>
                <w:szCs w:val="18"/>
                <w:lang w:eastAsia="zh-CN"/>
              </w:rPr>
            </w:pPr>
            <w:r>
              <w:rPr>
                <w:rFonts w:hint="eastAsia" w:ascii="宋体" w:hAnsi="宋体"/>
                <w:b/>
                <w:color w:val="000000"/>
                <w:kern w:val="0"/>
                <w:sz w:val="18"/>
                <w:szCs w:val="18"/>
              </w:rPr>
              <w:t>获得荣誉</w:t>
            </w:r>
            <w:r>
              <w:rPr>
                <w:rFonts w:hint="eastAsia" w:ascii="宋体" w:hAnsi="宋体"/>
                <w:b/>
                <w:color w:val="000000"/>
                <w:kern w:val="0"/>
                <w:sz w:val="18"/>
                <w:szCs w:val="18"/>
                <w:lang w:eastAsia="zh-CN"/>
              </w:rPr>
              <w:t>奖励</w:t>
            </w:r>
          </w:p>
        </w:tc>
        <w:tc>
          <w:tcPr>
            <w:tcW w:w="5387" w:type="dxa"/>
            <w:shd w:val="clear" w:color="auto" w:fill="FFFFFF"/>
            <w:noWrap w:val="0"/>
            <w:vAlign w:val="center"/>
          </w:tcPr>
          <w:p>
            <w:pPr>
              <w:rPr>
                <w:rFonts w:ascii="宋体" w:hAnsi="宋体" w:cs="黑体"/>
                <w:color w:val="000000"/>
                <w:kern w:val="0"/>
                <w:sz w:val="18"/>
                <w:szCs w:val="18"/>
              </w:rPr>
            </w:pPr>
            <w:r>
              <w:rPr>
                <w:rFonts w:hint="eastAsia" w:ascii="宋体" w:hAnsi="宋体"/>
                <w:color w:val="000000"/>
                <w:sz w:val="18"/>
                <w:szCs w:val="18"/>
              </w:rPr>
              <w:t>相关商标、产品或企业获得荣誉情况。（2分）</w:t>
            </w:r>
          </w:p>
        </w:tc>
        <w:tc>
          <w:tcPr>
            <w:tcW w:w="6581" w:type="dxa"/>
            <w:shd w:val="clear" w:color="auto" w:fill="FFFFFF"/>
            <w:noWrap w:val="0"/>
            <w:vAlign w:val="center"/>
          </w:tcPr>
          <w:p>
            <w:pPr>
              <w:rPr>
                <w:rFonts w:ascii="宋体" w:hAnsi="宋体" w:cs="黑体"/>
                <w:color w:val="000000"/>
                <w:kern w:val="0"/>
                <w:sz w:val="18"/>
                <w:szCs w:val="18"/>
              </w:rPr>
            </w:pPr>
            <w:r>
              <w:rPr>
                <w:rFonts w:hint="eastAsia" w:ascii="宋体" w:hAnsi="宋体"/>
                <w:color w:val="000000"/>
                <w:kern w:val="0"/>
                <w:sz w:val="18"/>
                <w:szCs w:val="18"/>
              </w:rPr>
              <w:t>相关</w:t>
            </w:r>
            <w:r>
              <w:rPr>
                <w:rFonts w:hint="eastAsia" w:ascii="宋体" w:hAnsi="宋体"/>
                <w:color w:val="000000"/>
                <w:sz w:val="18"/>
                <w:szCs w:val="18"/>
              </w:rPr>
              <w:t>商标、产品或企业</w:t>
            </w:r>
            <w:r>
              <w:rPr>
                <w:rFonts w:hint="eastAsia" w:ascii="宋体" w:hAnsi="宋体"/>
                <w:color w:val="000000"/>
                <w:kern w:val="0"/>
                <w:sz w:val="18"/>
                <w:szCs w:val="18"/>
              </w:rPr>
              <w:t>获得国家级荣誉称号（2分）；</w:t>
            </w:r>
            <w:r>
              <w:rPr>
                <w:rFonts w:hint="eastAsia" w:ascii="宋体" w:hAnsi="宋体"/>
                <w:color w:val="000000"/>
                <w:sz w:val="18"/>
                <w:szCs w:val="18"/>
              </w:rPr>
              <w:t>相关商标、产品或企业获得省级荣誉称号（1.5分）；</w:t>
            </w:r>
            <w:r>
              <w:rPr>
                <w:rFonts w:hint="eastAsia" w:ascii="宋体" w:hAnsi="宋体"/>
                <w:color w:val="000000"/>
                <w:kern w:val="0"/>
                <w:sz w:val="18"/>
                <w:szCs w:val="18"/>
              </w:rPr>
              <w:t>相关</w:t>
            </w:r>
            <w:r>
              <w:rPr>
                <w:rFonts w:hint="eastAsia" w:ascii="宋体" w:hAnsi="宋体"/>
                <w:color w:val="000000"/>
                <w:sz w:val="18"/>
                <w:szCs w:val="18"/>
              </w:rPr>
              <w:t>商标、产品或企业</w:t>
            </w:r>
            <w:r>
              <w:rPr>
                <w:rFonts w:hint="eastAsia" w:ascii="宋体" w:hAnsi="宋体"/>
                <w:color w:val="000000"/>
                <w:kern w:val="0"/>
                <w:sz w:val="18"/>
                <w:szCs w:val="18"/>
              </w:rPr>
              <w:t>获得市级、县级等荣誉称号（1分）；相关</w:t>
            </w:r>
            <w:r>
              <w:rPr>
                <w:rFonts w:hint="eastAsia" w:ascii="宋体" w:hAnsi="宋体"/>
                <w:color w:val="000000"/>
                <w:sz w:val="18"/>
                <w:szCs w:val="18"/>
              </w:rPr>
              <w:t>商标、产品或企业</w:t>
            </w:r>
            <w:r>
              <w:rPr>
                <w:rFonts w:hint="eastAsia" w:ascii="宋体" w:hAnsi="宋体"/>
                <w:color w:val="000000"/>
                <w:kern w:val="0"/>
                <w:sz w:val="18"/>
                <w:szCs w:val="18"/>
              </w:rPr>
              <w:t>获得其他荣誉称号（0.5分）。同时获得国家级、省级、市县级荣誉称号的，按所获的最高层级荣誉称号得分，不重复得分。</w:t>
            </w:r>
          </w:p>
        </w:tc>
      </w:tr>
    </w:tbl>
    <w:p>
      <w:pPr>
        <w:pStyle w:val="8"/>
        <w:spacing w:line="360" w:lineRule="auto"/>
        <w:ind w:firstLine="482" w:firstLineChars="200"/>
        <w:rPr>
          <w:rFonts w:ascii="宋体" w:hAnsi="宋体" w:cs="宋体"/>
          <w:b/>
          <w:sz w:val="24"/>
          <w:szCs w:val="24"/>
        </w:rPr>
      </w:pPr>
      <w:r>
        <w:rPr>
          <w:rFonts w:hint="eastAsia" w:ascii="宋体" w:hAnsi="宋体" w:cs="宋体"/>
          <w:b/>
          <w:sz w:val="24"/>
          <w:szCs w:val="24"/>
        </w:rPr>
        <w:t>编制说明：</w:t>
      </w:r>
    </w:p>
    <w:p>
      <w:pPr>
        <w:pStyle w:val="8"/>
        <w:spacing w:line="360" w:lineRule="auto"/>
        <w:ind w:firstLine="482" w:firstLineChars="200"/>
        <w:rPr>
          <w:rFonts w:ascii="宋体" w:hAnsi="宋体" w:cs="宋体"/>
          <w:b/>
          <w:sz w:val="24"/>
          <w:szCs w:val="24"/>
        </w:rPr>
      </w:pPr>
      <w:r>
        <w:rPr>
          <w:rFonts w:hint="eastAsia" w:ascii="宋体" w:hAnsi="宋体" w:cs="宋体"/>
          <w:b/>
          <w:sz w:val="24"/>
          <w:szCs w:val="24"/>
        </w:rPr>
        <w:t>1.编制背景</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1.1本评价指标是对《中华老字号示范创建管理办法》相关内容的补充。</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1.2本评价指标用于“中华老字号”示范创建工作。</w:t>
      </w:r>
    </w:p>
    <w:p>
      <w:pPr>
        <w:pStyle w:val="8"/>
        <w:spacing w:line="360" w:lineRule="auto"/>
        <w:ind w:firstLine="482" w:firstLineChars="200"/>
        <w:rPr>
          <w:rFonts w:ascii="宋体" w:hAnsi="宋体" w:cs="宋体"/>
          <w:b/>
          <w:sz w:val="24"/>
          <w:szCs w:val="24"/>
        </w:rPr>
      </w:pPr>
      <w:r>
        <w:rPr>
          <w:rFonts w:hint="eastAsia" w:ascii="宋体" w:hAnsi="宋体" w:cs="宋体"/>
          <w:b/>
          <w:sz w:val="24"/>
          <w:szCs w:val="24"/>
        </w:rPr>
        <w:t>2.适用范围</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2.1本评价指标适用于申报中华老字号示范创建的企业。</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2.2本评价指标从历史文化</w:t>
      </w:r>
      <w:r>
        <w:rPr>
          <w:rFonts w:hint="eastAsia" w:ascii="宋体" w:hAnsi="宋体" w:cs="宋体"/>
          <w:sz w:val="24"/>
          <w:szCs w:val="24"/>
          <w:lang w:eastAsia="zh-CN"/>
        </w:rPr>
        <w:t>深厚</w:t>
      </w:r>
      <w:r>
        <w:rPr>
          <w:rFonts w:hint="eastAsia" w:ascii="宋体" w:hAnsi="宋体" w:cs="宋体"/>
          <w:sz w:val="24"/>
          <w:szCs w:val="24"/>
        </w:rPr>
        <w:t>、经营管理</w:t>
      </w:r>
      <w:r>
        <w:rPr>
          <w:rFonts w:hint="eastAsia" w:ascii="宋体" w:hAnsi="宋体" w:cs="宋体"/>
          <w:sz w:val="24"/>
          <w:szCs w:val="24"/>
          <w:lang w:eastAsia="zh-CN"/>
        </w:rPr>
        <w:t>规范</w:t>
      </w:r>
      <w:r>
        <w:rPr>
          <w:rFonts w:hint="eastAsia" w:ascii="宋体" w:hAnsi="宋体" w:cs="宋体"/>
          <w:sz w:val="24"/>
          <w:szCs w:val="24"/>
        </w:rPr>
        <w:t>、创新发展</w:t>
      </w:r>
      <w:r>
        <w:rPr>
          <w:rFonts w:hint="eastAsia" w:ascii="宋体" w:hAnsi="宋体" w:cs="宋体"/>
          <w:sz w:val="24"/>
          <w:szCs w:val="24"/>
          <w:lang w:eastAsia="zh-CN"/>
        </w:rPr>
        <w:t>能力突出</w:t>
      </w:r>
      <w:r>
        <w:rPr>
          <w:rFonts w:hint="eastAsia" w:ascii="宋体" w:hAnsi="宋体" w:cs="宋体"/>
          <w:sz w:val="24"/>
          <w:szCs w:val="24"/>
        </w:rPr>
        <w:t>三个方面开展评价，总分100分。</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2.3对于近3年发生过重大安全责任事故、重大侵犯知识产权或消费者权益事件，或被相关部门列入严重违法失信名单的不予赋分。</w:t>
      </w:r>
    </w:p>
    <w:p>
      <w:pPr>
        <w:pStyle w:val="8"/>
        <w:spacing w:line="360" w:lineRule="auto"/>
        <w:ind w:firstLine="480" w:firstLineChars="200"/>
      </w:pPr>
      <w:r>
        <w:rPr>
          <w:rFonts w:hint="eastAsia" w:ascii="宋体" w:hAnsi="宋体" w:cs="宋体"/>
          <w:sz w:val="24"/>
          <w:szCs w:val="24"/>
        </w:rPr>
        <w:t>2.4本评价指标根据发展需要适时修订。</w:t>
      </w:r>
    </w:p>
    <w:p/>
    <w:p>
      <w:bookmarkStart w:id="0" w:name="_GoBack"/>
      <w:bookmarkEnd w:id="0"/>
    </w:p>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4NDVjMTE3MDg2MTA0MDY3Y2RmZDEyZWUzYTljY2IifQ=="/>
  </w:docVars>
  <w:rsids>
    <w:rsidRoot w:val="00000000"/>
    <w:rsid w:val="1C232942"/>
    <w:rsid w:val="299F635D"/>
    <w:rsid w:val="47693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jc w:val="center"/>
      <w:outlineLvl w:val="0"/>
    </w:pPr>
    <w:rPr>
      <w:rFonts w:eastAsia="华文中宋"/>
      <w:b/>
      <w:bCs/>
      <w:kern w:val="44"/>
      <w:sz w:val="36"/>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无间隔1"/>
    <w:qFormat/>
    <w:uiPriority w:val="1"/>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3994</Words>
  <Characters>4063</Characters>
  <Lines>0</Lines>
  <Paragraphs>0</Paragraphs>
  <TotalTime>0</TotalTime>
  <ScaleCrop>false</ScaleCrop>
  <LinksUpToDate>false</LinksUpToDate>
  <CharactersWithSpaces>4063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2022-07-13T00:32:00Z</dcterms:created>
  <dc:creator>Administrator</dc:creator>
  <cp:lastModifiedBy>让我保留</cp:lastModifiedBy>
  <dcterms:modified xsi:type="dcterms:W3CDTF">2023-05-25T09:03:33Z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7E00D0F0EE09410DA1235507BF62C7E7</vt:lpwstr>
  </property>
</Properties>
</file>